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756F" w14:textId="77777777" w:rsidR="007A09C9" w:rsidRDefault="007A09C9" w:rsidP="007A09C9">
      <w:pPr>
        <w:pStyle w:val="Brezrazmikov"/>
        <w:jc w:val="right"/>
      </w:pPr>
      <w:r>
        <w:t>NEURADNO PREČIŠČENO BESEDILO</w:t>
      </w:r>
    </w:p>
    <w:p w14:paraId="09EA1478" w14:textId="77777777" w:rsidR="007A09C9" w:rsidRDefault="007A09C9" w:rsidP="007A09C9">
      <w:pPr>
        <w:pStyle w:val="Brezrazmikov"/>
      </w:pPr>
    </w:p>
    <w:p w14:paraId="741FFDDB" w14:textId="77777777" w:rsidR="007A09C9" w:rsidRPr="00630D7B" w:rsidRDefault="007A09C9" w:rsidP="0048575B">
      <w:pPr>
        <w:jc w:val="both"/>
        <w:rPr>
          <w:rFonts w:ascii="Arial" w:hAnsi="Arial" w:cs="Arial"/>
          <w:i/>
        </w:rPr>
      </w:pPr>
      <w:r w:rsidRPr="00630D7B">
        <w:rPr>
          <w:rFonts w:ascii="Arial" w:hAnsi="Arial" w:cs="Arial"/>
          <w:i/>
        </w:rPr>
        <w:t>Neuradno prečiščeno besedilo vsebuje:</w:t>
      </w:r>
    </w:p>
    <w:p w14:paraId="0A5AB897" w14:textId="77777777" w:rsidR="0045438F" w:rsidRPr="007A09C9" w:rsidRDefault="007A09C9" w:rsidP="0048575B">
      <w:pPr>
        <w:pStyle w:val="Brezrazmikov"/>
        <w:numPr>
          <w:ilvl w:val="0"/>
          <w:numId w:val="1"/>
        </w:numPr>
        <w:jc w:val="both"/>
        <w:rPr>
          <w:i/>
        </w:rPr>
      </w:pPr>
      <w:r w:rsidRPr="007A09C9">
        <w:rPr>
          <w:i/>
        </w:rPr>
        <w:t>Odlok o zazidalnem načrtu za del območja urejanja V2S/2 Gabrče (Ur. l. RS, št. 60/1999)</w:t>
      </w:r>
    </w:p>
    <w:p w14:paraId="55684069" w14:textId="77777777" w:rsidR="007A09C9" w:rsidRPr="002C13F8" w:rsidRDefault="007A09C9" w:rsidP="0048575B">
      <w:pPr>
        <w:pStyle w:val="Brezrazmikov"/>
        <w:numPr>
          <w:ilvl w:val="0"/>
          <w:numId w:val="1"/>
        </w:numPr>
        <w:jc w:val="both"/>
        <w:rPr>
          <w:i/>
        </w:rPr>
      </w:pPr>
      <w:r w:rsidRPr="002C13F8">
        <w:rPr>
          <w:i/>
        </w:rPr>
        <w:t>Odlok o spremembah in dopolnitvah Odloka o zazidalnem načrtu za del območja urejanja V2S/2 Gabrče (Naš časopis, št. 335/</w:t>
      </w:r>
      <w:r w:rsidR="0048575B" w:rsidRPr="002C13F8">
        <w:rPr>
          <w:i/>
        </w:rPr>
        <w:t>20</w:t>
      </w:r>
      <w:r w:rsidRPr="002C13F8">
        <w:rPr>
          <w:i/>
        </w:rPr>
        <w:t>07)</w:t>
      </w:r>
    </w:p>
    <w:p w14:paraId="1B7BE7E5" w14:textId="77777777" w:rsidR="0048575B" w:rsidRDefault="0048575B" w:rsidP="0048575B">
      <w:pPr>
        <w:pStyle w:val="Brezrazmikov"/>
        <w:rPr>
          <w:i/>
        </w:rPr>
      </w:pPr>
    </w:p>
    <w:p w14:paraId="7B7BF74E" w14:textId="77777777" w:rsidR="0048575B" w:rsidRDefault="0048575B" w:rsidP="0048575B">
      <w:pPr>
        <w:pStyle w:val="Brezrazmikov"/>
        <w:rPr>
          <w:i/>
        </w:rPr>
      </w:pPr>
    </w:p>
    <w:p w14:paraId="5DCB779A" w14:textId="77777777" w:rsidR="0048575B" w:rsidRPr="0048575B" w:rsidRDefault="0048575B" w:rsidP="0048575B">
      <w:pPr>
        <w:pStyle w:val="Brezrazmikov"/>
        <w:jc w:val="center"/>
        <w:rPr>
          <w:b/>
        </w:rPr>
      </w:pPr>
      <w:r w:rsidRPr="0048575B">
        <w:rPr>
          <w:b/>
        </w:rPr>
        <w:t>Odlok o zazidalnem načrtu za del območja urejanja V 2S/2 Gabrče</w:t>
      </w:r>
    </w:p>
    <w:p w14:paraId="61B829FB" w14:textId="77777777" w:rsidR="0048575B" w:rsidRDefault="0048575B" w:rsidP="0048575B">
      <w:pPr>
        <w:pStyle w:val="Brezrazmikov"/>
      </w:pPr>
    </w:p>
    <w:p w14:paraId="712F769F" w14:textId="77777777" w:rsidR="0048575B" w:rsidRDefault="0048575B" w:rsidP="0048575B">
      <w:pPr>
        <w:pStyle w:val="Brezrazmikov"/>
      </w:pPr>
    </w:p>
    <w:p w14:paraId="44E695F1" w14:textId="77777777" w:rsidR="0048575B" w:rsidRDefault="0048575B" w:rsidP="0048575B">
      <w:pPr>
        <w:pStyle w:val="Brezrazmikov"/>
        <w:jc w:val="center"/>
      </w:pPr>
      <w:r>
        <w:t>I. SPLOŠNE DOLOČBE</w:t>
      </w:r>
    </w:p>
    <w:p w14:paraId="5D1312D8" w14:textId="77777777" w:rsidR="0048575B" w:rsidRDefault="0048575B" w:rsidP="0048575B">
      <w:pPr>
        <w:pStyle w:val="Brezrazmikov"/>
        <w:jc w:val="center"/>
      </w:pPr>
    </w:p>
    <w:p w14:paraId="3FC6CF92" w14:textId="77777777" w:rsidR="0048575B" w:rsidRDefault="0048575B" w:rsidP="0048575B">
      <w:pPr>
        <w:pStyle w:val="Brezrazmikov"/>
        <w:jc w:val="center"/>
      </w:pPr>
      <w:r>
        <w:t>1. člen</w:t>
      </w:r>
    </w:p>
    <w:p w14:paraId="4915EB7B" w14:textId="77777777" w:rsidR="0048575B" w:rsidRDefault="0048575B" w:rsidP="0048575B">
      <w:pPr>
        <w:pStyle w:val="Brezrazmikov"/>
      </w:pPr>
    </w:p>
    <w:p w14:paraId="68F7A68C" w14:textId="77777777" w:rsidR="0048575B" w:rsidRDefault="0048575B" w:rsidP="0048575B">
      <w:pPr>
        <w:pStyle w:val="Brezrazmikov"/>
        <w:jc w:val="both"/>
      </w:pPr>
      <w:r>
        <w:t xml:space="preserve">S tem odlokom se sprejme zazidalni načrt za del območja urejanja V 2S/2 Gabrče, ki ga je izdelal </w:t>
      </w:r>
      <w:proofErr w:type="spellStart"/>
      <w:r>
        <w:t>Primis</w:t>
      </w:r>
      <w:proofErr w:type="spellEnd"/>
      <w:r>
        <w:t xml:space="preserve">, </w:t>
      </w:r>
      <w:proofErr w:type="spellStart"/>
      <w:r>
        <w:t>d.d</w:t>
      </w:r>
      <w:proofErr w:type="spellEnd"/>
      <w:r>
        <w:t>., Vrhnika, Tržaška cesta 23, pod številko projekta 6/99 v januarju 1999.</w:t>
      </w:r>
    </w:p>
    <w:p w14:paraId="7FBD3307" w14:textId="77777777" w:rsidR="0048575B" w:rsidRDefault="0048575B" w:rsidP="0048575B">
      <w:pPr>
        <w:pStyle w:val="Brezrazmikov"/>
        <w:jc w:val="both"/>
      </w:pPr>
    </w:p>
    <w:p w14:paraId="185BA282" w14:textId="77777777" w:rsidR="0048575B" w:rsidRDefault="0048575B" w:rsidP="00707185">
      <w:pPr>
        <w:pStyle w:val="Brezrazmikov"/>
        <w:jc w:val="center"/>
      </w:pPr>
      <w:r>
        <w:t>2. člen</w:t>
      </w:r>
    </w:p>
    <w:p w14:paraId="0E761E96" w14:textId="77777777" w:rsidR="0048575B" w:rsidRDefault="0048575B" w:rsidP="0048575B">
      <w:pPr>
        <w:pStyle w:val="Brezrazmikov"/>
        <w:jc w:val="both"/>
      </w:pPr>
    </w:p>
    <w:p w14:paraId="64800D4C" w14:textId="77777777" w:rsidR="0048575B" w:rsidRDefault="0048575B" w:rsidP="0048575B">
      <w:pPr>
        <w:pStyle w:val="Brezrazmikov"/>
        <w:jc w:val="both"/>
      </w:pPr>
      <w:r>
        <w:t>Programska zasnova Idrijska je identična s funkcijo območja, ki jo določa ta zazidalni načrt.</w:t>
      </w:r>
    </w:p>
    <w:p w14:paraId="1F8B0E47" w14:textId="77777777" w:rsidR="0048575B" w:rsidRDefault="0048575B" w:rsidP="0048575B">
      <w:pPr>
        <w:pStyle w:val="Brezrazmikov"/>
        <w:jc w:val="both"/>
      </w:pPr>
    </w:p>
    <w:p w14:paraId="34AF8253" w14:textId="77777777" w:rsidR="0048575B" w:rsidRDefault="0048575B" w:rsidP="00707185">
      <w:pPr>
        <w:pStyle w:val="Brezrazmikov"/>
        <w:jc w:val="center"/>
      </w:pPr>
      <w:r>
        <w:t>3. člen</w:t>
      </w:r>
    </w:p>
    <w:p w14:paraId="4C277D66" w14:textId="77777777" w:rsidR="0048575B" w:rsidRDefault="0048575B" w:rsidP="0048575B">
      <w:pPr>
        <w:pStyle w:val="Brezrazmikov"/>
        <w:jc w:val="both"/>
      </w:pPr>
    </w:p>
    <w:p w14:paraId="22028454" w14:textId="77777777" w:rsidR="0048575B" w:rsidRDefault="0048575B" w:rsidP="0048575B">
      <w:pPr>
        <w:pStyle w:val="Brezrazmikov"/>
        <w:jc w:val="both"/>
      </w:pPr>
      <w:r>
        <w:t>Prostorski pogoji za realizacijo planskih odločitev so izdelani v dveh variantah.</w:t>
      </w:r>
    </w:p>
    <w:p w14:paraId="559B4EED" w14:textId="77777777" w:rsidR="0048575B" w:rsidRDefault="0048575B" w:rsidP="0048575B">
      <w:pPr>
        <w:pStyle w:val="Brezrazmikov"/>
        <w:jc w:val="both"/>
      </w:pPr>
      <w:r>
        <w:t xml:space="preserve">Izhodišče za varianto 1 je celostni strokovni pristop k oblikovanju obravnavanega prostora </w:t>
      </w:r>
      <w:r w:rsidR="00A0417B">
        <w:t>in je posodobljena sinteza prepoznavnih urbanističnih in arhitektonskih kvalitet širšega prostora.</w:t>
      </w:r>
    </w:p>
    <w:p w14:paraId="422FADB8" w14:textId="77777777" w:rsidR="00A0417B" w:rsidRDefault="00A0417B" w:rsidP="0048575B">
      <w:pPr>
        <w:pStyle w:val="Brezrazmikov"/>
        <w:jc w:val="both"/>
      </w:pPr>
      <w:r>
        <w:t>Izhodišče za varianto 2 so idejne rešitve objektov, ki so jih predlagali in na njih vztrajali investitorji.</w:t>
      </w:r>
    </w:p>
    <w:p w14:paraId="3A283A98" w14:textId="77777777" w:rsidR="00A0417B" w:rsidRDefault="00A0417B" w:rsidP="0048575B">
      <w:pPr>
        <w:pStyle w:val="Brezrazmikov"/>
        <w:jc w:val="both"/>
      </w:pPr>
      <w:r>
        <w:t>Varianti 1 in 2 sta osnovi za izdajo lokacijskega dovoljenja.</w:t>
      </w:r>
    </w:p>
    <w:p w14:paraId="345CAF63" w14:textId="77777777" w:rsidR="00A0417B" w:rsidRDefault="00A0417B" w:rsidP="0048575B">
      <w:pPr>
        <w:pStyle w:val="Brezrazmikov"/>
        <w:jc w:val="both"/>
      </w:pPr>
    </w:p>
    <w:p w14:paraId="62C13E75" w14:textId="77777777" w:rsidR="00A0417B" w:rsidRDefault="00A0417B" w:rsidP="00707185">
      <w:pPr>
        <w:pStyle w:val="Brezrazmikov"/>
        <w:jc w:val="center"/>
      </w:pPr>
      <w:r>
        <w:t>4. člen</w:t>
      </w:r>
    </w:p>
    <w:p w14:paraId="2A85F203" w14:textId="77777777" w:rsidR="00A0417B" w:rsidRDefault="00A0417B" w:rsidP="0048575B">
      <w:pPr>
        <w:pStyle w:val="Brezrazmikov"/>
        <w:jc w:val="both"/>
      </w:pPr>
    </w:p>
    <w:p w14:paraId="6FA218F4" w14:textId="77777777" w:rsidR="00A0417B" w:rsidRDefault="00A0417B" w:rsidP="0048575B">
      <w:pPr>
        <w:pStyle w:val="Brezrazmikov"/>
        <w:jc w:val="both"/>
      </w:pPr>
      <w:r>
        <w:t>Sestavni deli odloka so:</w:t>
      </w:r>
    </w:p>
    <w:p w14:paraId="38A44DDD" w14:textId="77777777" w:rsidR="00A0417B" w:rsidRDefault="00A0417B" w:rsidP="0048575B">
      <w:pPr>
        <w:pStyle w:val="Brezrazmikov"/>
        <w:jc w:val="both"/>
      </w:pPr>
      <w:r>
        <w:t>Tekstualni del:</w:t>
      </w:r>
    </w:p>
    <w:p w14:paraId="124BEFA1" w14:textId="77777777" w:rsidR="00A0417B" w:rsidRDefault="00A0417B" w:rsidP="00A0417B">
      <w:pPr>
        <w:pStyle w:val="Brezrazmikov"/>
        <w:numPr>
          <w:ilvl w:val="0"/>
          <w:numId w:val="2"/>
        </w:numPr>
        <w:ind w:left="567"/>
        <w:jc w:val="both"/>
      </w:pPr>
      <w:r>
        <w:t>odlok,</w:t>
      </w:r>
    </w:p>
    <w:p w14:paraId="0634ACE3" w14:textId="77777777" w:rsidR="00A0417B" w:rsidRDefault="00A0417B" w:rsidP="00A0417B">
      <w:pPr>
        <w:pStyle w:val="Brezrazmikov"/>
        <w:numPr>
          <w:ilvl w:val="0"/>
          <w:numId w:val="2"/>
        </w:numPr>
        <w:ind w:left="567"/>
        <w:jc w:val="both"/>
      </w:pPr>
      <w:r>
        <w:t>obrazložitev,</w:t>
      </w:r>
    </w:p>
    <w:p w14:paraId="2DD93930" w14:textId="77777777" w:rsidR="00A0417B" w:rsidRDefault="00A0417B" w:rsidP="00A0417B">
      <w:pPr>
        <w:pStyle w:val="Brezrazmikov"/>
        <w:numPr>
          <w:ilvl w:val="0"/>
          <w:numId w:val="2"/>
        </w:numPr>
        <w:ind w:left="567"/>
        <w:jc w:val="both"/>
      </w:pPr>
      <w:r>
        <w:t>soglasja,</w:t>
      </w:r>
    </w:p>
    <w:p w14:paraId="0173AD2D" w14:textId="77777777" w:rsidR="00A0417B" w:rsidRDefault="00A0417B" w:rsidP="00A0417B">
      <w:pPr>
        <w:pStyle w:val="Brezrazmikov"/>
        <w:numPr>
          <w:ilvl w:val="0"/>
          <w:numId w:val="2"/>
        </w:numPr>
        <w:ind w:left="567"/>
        <w:jc w:val="both"/>
      </w:pPr>
      <w:r>
        <w:t>posebne strokovne podlage:</w:t>
      </w:r>
    </w:p>
    <w:p w14:paraId="4DC73671" w14:textId="77777777" w:rsidR="00A0417B" w:rsidRDefault="00A0417B" w:rsidP="00A0417B">
      <w:pPr>
        <w:pStyle w:val="Brezrazmikov"/>
        <w:numPr>
          <w:ilvl w:val="0"/>
          <w:numId w:val="2"/>
        </w:numPr>
        <w:ind w:left="1134"/>
        <w:jc w:val="both"/>
      </w:pPr>
      <w:r>
        <w:t>idejna zasnova objektov (varianta 1, 2),</w:t>
      </w:r>
    </w:p>
    <w:p w14:paraId="6E807580" w14:textId="77777777" w:rsidR="00A0417B" w:rsidRDefault="00A0417B" w:rsidP="00A0417B">
      <w:pPr>
        <w:pStyle w:val="Brezrazmikov"/>
        <w:numPr>
          <w:ilvl w:val="0"/>
          <w:numId w:val="2"/>
        </w:numPr>
        <w:ind w:left="1134"/>
        <w:jc w:val="both"/>
      </w:pPr>
      <w:r>
        <w:t>študija vrtač,</w:t>
      </w:r>
    </w:p>
    <w:p w14:paraId="51289CBF" w14:textId="77777777" w:rsidR="00A0417B" w:rsidRDefault="00A0417B" w:rsidP="00A0417B">
      <w:pPr>
        <w:pStyle w:val="Brezrazmikov"/>
        <w:numPr>
          <w:ilvl w:val="0"/>
          <w:numId w:val="2"/>
        </w:numPr>
        <w:ind w:left="1134"/>
        <w:jc w:val="both"/>
      </w:pPr>
      <w:r>
        <w:t>geološko poročilo,</w:t>
      </w:r>
    </w:p>
    <w:p w14:paraId="1E121EEF" w14:textId="77777777" w:rsidR="00A0417B" w:rsidRDefault="00A0417B" w:rsidP="00A0417B">
      <w:pPr>
        <w:pStyle w:val="Brezrazmikov"/>
        <w:numPr>
          <w:ilvl w:val="0"/>
          <w:numId w:val="2"/>
        </w:numPr>
        <w:ind w:left="1134"/>
        <w:jc w:val="both"/>
      </w:pPr>
      <w:r>
        <w:t>komunalna ureditev.</w:t>
      </w:r>
    </w:p>
    <w:p w14:paraId="38397E9B" w14:textId="77777777" w:rsidR="00A0417B" w:rsidRDefault="00A0417B" w:rsidP="0048575B">
      <w:pPr>
        <w:pStyle w:val="Brezrazmikov"/>
        <w:jc w:val="both"/>
      </w:pPr>
    </w:p>
    <w:p w14:paraId="10BADA9A" w14:textId="77777777" w:rsidR="00A0417B" w:rsidRDefault="00A0417B" w:rsidP="0048575B">
      <w:pPr>
        <w:pStyle w:val="Brezrazmikov"/>
        <w:jc w:val="both"/>
      </w:pPr>
      <w:r>
        <w:t>Grafični del:</w:t>
      </w:r>
    </w:p>
    <w:p w14:paraId="6B60F4B3" w14:textId="77777777" w:rsidR="00A0417B" w:rsidRDefault="00A0417B" w:rsidP="00A0417B">
      <w:pPr>
        <w:pStyle w:val="Brezrazmikov"/>
        <w:numPr>
          <w:ilvl w:val="0"/>
          <w:numId w:val="3"/>
        </w:numPr>
        <w:ind w:left="567"/>
        <w:jc w:val="both"/>
      </w:pPr>
      <w:r>
        <w:t>izsek iz plana 1:5000,</w:t>
      </w:r>
    </w:p>
    <w:p w14:paraId="01985E0F" w14:textId="77777777" w:rsidR="00A0417B" w:rsidRDefault="00A0417B" w:rsidP="00A0417B">
      <w:pPr>
        <w:pStyle w:val="Brezrazmikov"/>
        <w:numPr>
          <w:ilvl w:val="0"/>
          <w:numId w:val="3"/>
        </w:numPr>
        <w:ind w:left="567"/>
        <w:jc w:val="both"/>
      </w:pPr>
      <w:r>
        <w:t>izsek iz programskih zasnov 1:500,</w:t>
      </w:r>
    </w:p>
    <w:p w14:paraId="4D5D0FA2" w14:textId="77777777" w:rsidR="00A0417B" w:rsidRDefault="00A0417B" w:rsidP="00A0417B">
      <w:pPr>
        <w:pStyle w:val="Brezrazmikov"/>
        <w:numPr>
          <w:ilvl w:val="0"/>
          <w:numId w:val="3"/>
        </w:numPr>
        <w:ind w:left="567"/>
        <w:jc w:val="both"/>
      </w:pPr>
      <w:proofErr w:type="spellStart"/>
      <w:r>
        <w:t>mapna</w:t>
      </w:r>
      <w:proofErr w:type="spellEnd"/>
      <w:r>
        <w:t xml:space="preserve"> kopija 1:2880,</w:t>
      </w:r>
    </w:p>
    <w:p w14:paraId="062D9DD0" w14:textId="77777777" w:rsidR="00A0417B" w:rsidRDefault="00A0417B" w:rsidP="00A0417B">
      <w:pPr>
        <w:pStyle w:val="Brezrazmikov"/>
        <w:numPr>
          <w:ilvl w:val="0"/>
          <w:numId w:val="3"/>
        </w:numPr>
        <w:ind w:left="567"/>
        <w:jc w:val="both"/>
      </w:pPr>
      <w:r>
        <w:t>geodetski in katastrski načrt 1:500,</w:t>
      </w:r>
    </w:p>
    <w:p w14:paraId="1F0BD8FB" w14:textId="77777777" w:rsidR="00A0417B" w:rsidRDefault="00A0417B" w:rsidP="00A0417B">
      <w:pPr>
        <w:pStyle w:val="Brezrazmikov"/>
        <w:numPr>
          <w:ilvl w:val="0"/>
          <w:numId w:val="3"/>
        </w:numPr>
        <w:ind w:left="567"/>
        <w:jc w:val="both"/>
      </w:pPr>
      <w:r>
        <w:t>idejna zasnova objektov (varianta 1, 2) 1:200,</w:t>
      </w:r>
    </w:p>
    <w:p w14:paraId="248FD34D" w14:textId="77777777" w:rsidR="00A0417B" w:rsidRDefault="00A0417B" w:rsidP="00A0417B">
      <w:pPr>
        <w:pStyle w:val="Brezrazmikov"/>
        <w:numPr>
          <w:ilvl w:val="0"/>
          <w:numId w:val="3"/>
        </w:numPr>
        <w:ind w:left="567"/>
        <w:jc w:val="both"/>
      </w:pPr>
      <w:r>
        <w:t>zazidalna situacija:</w:t>
      </w:r>
    </w:p>
    <w:p w14:paraId="3CA9FAB4" w14:textId="77777777" w:rsidR="00A0417B" w:rsidRDefault="00A0417B" w:rsidP="00A0417B">
      <w:pPr>
        <w:pStyle w:val="Brezrazmikov"/>
        <w:numPr>
          <w:ilvl w:val="0"/>
          <w:numId w:val="3"/>
        </w:numPr>
        <w:ind w:left="1134"/>
        <w:jc w:val="both"/>
      </w:pPr>
      <w:r>
        <w:t>pogoji za urbanistično in arhitektonsko oblikovanje območja ter numerični podatki (varianta 1, 2) 1:500,</w:t>
      </w:r>
    </w:p>
    <w:p w14:paraId="60039B0A" w14:textId="77777777" w:rsidR="00A0417B" w:rsidRDefault="00A0417B" w:rsidP="00A0417B">
      <w:pPr>
        <w:pStyle w:val="Brezrazmikov"/>
        <w:numPr>
          <w:ilvl w:val="0"/>
          <w:numId w:val="3"/>
        </w:numPr>
        <w:ind w:left="1134"/>
        <w:jc w:val="both"/>
      </w:pPr>
      <w:r>
        <w:t>prometna ureditev (varianta 1, 2) 1:500,</w:t>
      </w:r>
    </w:p>
    <w:p w14:paraId="055FABB3" w14:textId="77777777" w:rsidR="00A0417B" w:rsidRDefault="00A0417B" w:rsidP="00A0417B">
      <w:pPr>
        <w:pStyle w:val="Brezrazmikov"/>
        <w:numPr>
          <w:ilvl w:val="0"/>
          <w:numId w:val="3"/>
        </w:numPr>
        <w:ind w:left="1134"/>
        <w:jc w:val="both"/>
      </w:pPr>
      <w:r>
        <w:lastRenderedPageBreak/>
        <w:t>komunalna ureditev 1:500,</w:t>
      </w:r>
    </w:p>
    <w:p w14:paraId="424A9611" w14:textId="77777777" w:rsidR="00A0417B" w:rsidRDefault="00A0417B" w:rsidP="00A0417B">
      <w:pPr>
        <w:pStyle w:val="Brezrazmikov"/>
        <w:numPr>
          <w:ilvl w:val="0"/>
          <w:numId w:val="3"/>
        </w:numPr>
        <w:ind w:left="1134"/>
        <w:jc w:val="both"/>
      </w:pPr>
      <w:proofErr w:type="spellStart"/>
      <w:r>
        <w:t>parcelacijski</w:t>
      </w:r>
      <w:proofErr w:type="spellEnd"/>
      <w:r>
        <w:t xml:space="preserve"> načrt 1:500.</w:t>
      </w:r>
    </w:p>
    <w:p w14:paraId="426BF22D" w14:textId="77777777" w:rsidR="00A0417B" w:rsidRDefault="00A0417B" w:rsidP="0048575B">
      <w:pPr>
        <w:pStyle w:val="Brezrazmikov"/>
        <w:jc w:val="both"/>
      </w:pPr>
    </w:p>
    <w:p w14:paraId="423686AF" w14:textId="77777777" w:rsidR="001B0F44" w:rsidRDefault="001B0F44" w:rsidP="0048575B">
      <w:pPr>
        <w:pStyle w:val="Brezrazmikov"/>
        <w:jc w:val="both"/>
      </w:pPr>
    </w:p>
    <w:p w14:paraId="40D9B55A" w14:textId="77777777" w:rsidR="001B0F44" w:rsidRDefault="001B0F44" w:rsidP="00707185">
      <w:pPr>
        <w:pStyle w:val="Brezrazmikov"/>
        <w:jc w:val="center"/>
      </w:pPr>
      <w:r>
        <w:t>II. MEJA OBMOČJA</w:t>
      </w:r>
    </w:p>
    <w:p w14:paraId="7B0F05FF" w14:textId="77777777" w:rsidR="001B0F44" w:rsidRDefault="001B0F44" w:rsidP="00707185">
      <w:pPr>
        <w:pStyle w:val="Brezrazmikov"/>
        <w:jc w:val="center"/>
      </w:pPr>
    </w:p>
    <w:p w14:paraId="0A6612B5" w14:textId="77777777" w:rsidR="001B0F44" w:rsidRDefault="001B0F44" w:rsidP="00707185">
      <w:pPr>
        <w:pStyle w:val="Brezrazmikov"/>
        <w:jc w:val="center"/>
      </w:pPr>
      <w:r>
        <w:t>5. člen</w:t>
      </w:r>
    </w:p>
    <w:p w14:paraId="08E86207" w14:textId="77777777" w:rsidR="001B0F44" w:rsidRDefault="001B0F44" w:rsidP="0048575B">
      <w:pPr>
        <w:pStyle w:val="Brezrazmikov"/>
        <w:jc w:val="both"/>
      </w:pPr>
    </w:p>
    <w:p w14:paraId="560569D4" w14:textId="77777777" w:rsidR="001B0F44" w:rsidRDefault="001B0F44" w:rsidP="0048575B">
      <w:pPr>
        <w:pStyle w:val="Brezrazmikov"/>
        <w:jc w:val="both"/>
      </w:pPr>
      <w:r>
        <w:t>Meja območja urejanja poteka po obodu zazidalnega območja, ki obsega naslednje parcele ali dele parcel v k.o. Vrhnika: 2854/18, 969/3, 965/2, 969/2, 969/6, 2854/39, 2854/40, 2854/41, 2854/38, 2854/37, 2854/44, 2854/43, 753/1, 753/2, 753/3, 753/4, 756/2, 752, 980/2, 980/3, 980/4, 976/2, 980/1-del, 2854/36-del, 979-del, 751/1-del, 751/2-del, 981/1-del, 983-del, 749-del, 2854/31-del, 994/1-del, 2854/33-del, 976/1-del.</w:t>
      </w:r>
    </w:p>
    <w:p w14:paraId="28B9C834" w14:textId="77777777" w:rsidR="001B0F44" w:rsidRDefault="001B0F44" w:rsidP="0048575B">
      <w:pPr>
        <w:pStyle w:val="Brezrazmikov"/>
        <w:jc w:val="both"/>
      </w:pPr>
    </w:p>
    <w:p w14:paraId="7A4232BA" w14:textId="77777777" w:rsidR="001B0F44" w:rsidRDefault="001B0F44" w:rsidP="0048575B">
      <w:pPr>
        <w:pStyle w:val="Brezrazmikov"/>
        <w:jc w:val="both"/>
      </w:pPr>
    </w:p>
    <w:p w14:paraId="58A1007B" w14:textId="77777777" w:rsidR="00B32FDF" w:rsidRDefault="00B32FDF" w:rsidP="00707185">
      <w:pPr>
        <w:pStyle w:val="Brezrazmikov"/>
        <w:jc w:val="center"/>
      </w:pPr>
      <w:r>
        <w:t>III. FUNKCIJA OBMOČJA S POGOJI ZA IZRABO IN KVALITETO GRADITVE</w:t>
      </w:r>
    </w:p>
    <w:p w14:paraId="339C52B7" w14:textId="77777777" w:rsidR="00B32FDF" w:rsidRDefault="00B32FDF" w:rsidP="00707185">
      <w:pPr>
        <w:pStyle w:val="Brezrazmikov"/>
        <w:jc w:val="center"/>
      </w:pPr>
    </w:p>
    <w:p w14:paraId="0F1DFCC4" w14:textId="77777777" w:rsidR="00B32FDF" w:rsidRDefault="00B32FDF" w:rsidP="00707185">
      <w:pPr>
        <w:pStyle w:val="Brezrazmikov"/>
        <w:jc w:val="center"/>
      </w:pPr>
      <w:r>
        <w:t>6. člen</w:t>
      </w:r>
    </w:p>
    <w:p w14:paraId="0C76AD38" w14:textId="77777777" w:rsidR="00B32FDF" w:rsidRDefault="00B32FDF" w:rsidP="0048575B">
      <w:pPr>
        <w:pStyle w:val="Brezrazmikov"/>
        <w:jc w:val="both"/>
      </w:pPr>
    </w:p>
    <w:p w14:paraId="3FDFF1CB" w14:textId="77777777" w:rsidR="00B32FDF" w:rsidRDefault="00B32FDF" w:rsidP="0048575B">
      <w:pPr>
        <w:pStyle w:val="Brezrazmikov"/>
        <w:jc w:val="both"/>
      </w:pPr>
      <w:r>
        <w:t>Območje, ki ga obravnava zazidalni načrt je stavbno zemljišče, predvideno za stanovanjsko gradnjo in spremljajoče dejavnosti.</w:t>
      </w:r>
    </w:p>
    <w:p w14:paraId="0D4BD848" w14:textId="77777777" w:rsidR="00B32FDF" w:rsidRPr="002C13F8" w:rsidRDefault="00B32FDF" w:rsidP="0048575B">
      <w:pPr>
        <w:pStyle w:val="Brezrazmikov"/>
        <w:jc w:val="both"/>
      </w:pPr>
      <w:r>
        <w:t>V skladu s spremembo programskih zasnov srednjeročnega družbenega plana Občine Vrhnika je opredeljeno za pozidavo z enodružinskimi stanovanjskimi objekti.</w:t>
      </w:r>
      <w:r w:rsidR="00007C9A">
        <w:t xml:space="preserve"> </w:t>
      </w:r>
      <w:r w:rsidR="00007C9A" w:rsidRPr="002C13F8">
        <w:t>Objekt z oznako št. 1 je lahko enostanovanjski (varianta 1) ali dvostanovanjski, zasnovan kot dvojček (varianta 2).</w:t>
      </w:r>
    </w:p>
    <w:p w14:paraId="31B50C56" w14:textId="77777777" w:rsidR="00B32FDF" w:rsidRDefault="00B32FDF" w:rsidP="0048575B">
      <w:pPr>
        <w:pStyle w:val="Brezrazmikov"/>
        <w:jc w:val="both"/>
      </w:pPr>
      <w:r>
        <w:t>V stanovanjskih objektih so dovoljene nemoteče poslovne dejavnosti, oziroma dejavnosti, ki ne povzročajo hrupa ali povečanega prometa.</w:t>
      </w:r>
    </w:p>
    <w:p w14:paraId="09A71257" w14:textId="77777777" w:rsidR="00B32FDF" w:rsidRDefault="00B32FDF" w:rsidP="0048575B">
      <w:pPr>
        <w:pStyle w:val="Brezrazmikov"/>
        <w:jc w:val="both"/>
      </w:pPr>
    </w:p>
    <w:p w14:paraId="697757F0" w14:textId="77777777" w:rsidR="00B32FDF" w:rsidRDefault="00B32FDF" w:rsidP="0048575B">
      <w:pPr>
        <w:pStyle w:val="Brezrazmikov"/>
        <w:jc w:val="both"/>
      </w:pPr>
    </w:p>
    <w:p w14:paraId="22758534" w14:textId="77777777" w:rsidR="00B32FDF" w:rsidRDefault="00B32FDF" w:rsidP="00707185">
      <w:pPr>
        <w:pStyle w:val="Brezrazmikov"/>
        <w:jc w:val="center"/>
      </w:pPr>
      <w:r>
        <w:t>IV. POGOJI ZA URBANISTIČNO OBLIKOVANJE OBMOČJA</w:t>
      </w:r>
    </w:p>
    <w:p w14:paraId="1183EEC4" w14:textId="77777777" w:rsidR="00B32FDF" w:rsidRDefault="00B32FDF" w:rsidP="00707185">
      <w:pPr>
        <w:pStyle w:val="Brezrazmikov"/>
        <w:jc w:val="center"/>
      </w:pPr>
    </w:p>
    <w:p w14:paraId="0D6B84A3" w14:textId="77777777" w:rsidR="00B32FDF" w:rsidRDefault="00B32FDF" w:rsidP="00707185">
      <w:pPr>
        <w:pStyle w:val="Brezrazmikov"/>
        <w:jc w:val="center"/>
      </w:pPr>
      <w:r>
        <w:t>7. člen</w:t>
      </w:r>
    </w:p>
    <w:p w14:paraId="70CC13DD" w14:textId="77777777" w:rsidR="00B32FDF" w:rsidRDefault="00B32FDF" w:rsidP="0048575B">
      <w:pPr>
        <w:pStyle w:val="Brezrazmikov"/>
        <w:jc w:val="both"/>
      </w:pPr>
    </w:p>
    <w:p w14:paraId="6022FD65" w14:textId="77777777" w:rsidR="00B32FDF" w:rsidRDefault="00B32FDF" w:rsidP="0048575B">
      <w:pPr>
        <w:pStyle w:val="Brezrazmikov"/>
        <w:jc w:val="both"/>
      </w:pPr>
      <w:r>
        <w:t>Zazidalni načrt odloča:</w:t>
      </w:r>
    </w:p>
    <w:p w14:paraId="395FEC20" w14:textId="77777777" w:rsidR="00B32FDF" w:rsidRDefault="00707185" w:rsidP="00707185">
      <w:pPr>
        <w:pStyle w:val="Brezrazmikov"/>
        <w:numPr>
          <w:ilvl w:val="0"/>
          <w:numId w:val="4"/>
        </w:numPr>
        <w:ind w:left="567"/>
        <w:jc w:val="both"/>
      </w:pPr>
      <w:r>
        <w:t>o</w:t>
      </w:r>
      <w:r w:rsidR="00B32FDF">
        <w:t>bstoječe in nove parcele za pozidavo,</w:t>
      </w:r>
    </w:p>
    <w:p w14:paraId="2FF258B3" w14:textId="77777777" w:rsidR="00B32FDF" w:rsidRDefault="00707185" w:rsidP="00707185">
      <w:pPr>
        <w:pStyle w:val="Brezrazmikov"/>
        <w:numPr>
          <w:ilvl w:val="0"/>
          <w:numId w:val="4"/>
        </w:numPr>
        <w:ind w:left="567"/>
        <w:jc w:val="both"/>
      </w:pPr>
      <w:r>
        <w:t>p</w:t>
      </w:r>
      <w:r w:rsidR="00B32FDF">
        <w:t>ogoje za urbanistično oblikovanje območja,</w:t>
      </w:r>
    </w:p>
    <w:p w14:paraId="7F419308" w14:textId="77777777" w:rsidR="00B32FDF" w:rsidRDefault="00707185" w:rsidP="00707185">
      <w:pPr>
        <w:pStyle w:val="Brezrazmikov"/>
        <w:numPr>
          <w:ilvl w:val="0"/>
          <w:numId w:val="4"/>
        </w:numPr>
        <w:ind w:left="567"/>
        <w:jc w:val="both"/>
      </w:pPr>
      <w:r>
        <w:t>n</w:t>
      </w:r>
      <w:r w:rsidR="00B32FDF">
        <w:t>ove objekte (arhitektonsko oblikovanje),</w:t>
      </w:r>
    </w:p>
    <w:p w14:paraId="11B2891A" w14:textId="77777777" w:rsidR="00B32FDF" w:rsidRDefault="00707185" w:rsidP="00707185">
      <w:pPr>
        <w:pStyle w:val="Brezrazmikov"/>
        <w:numPr>
          <w:ilvl w:val="0"/>
          <w:numId w:val="4"/>
        </w:numPr>
        <w:ind w:left="567"/>
        <w:jc w:val="both"/>
      </w:pPr>
      <w:r>
        <w:t>o</w:t>
      </w:r>
      <w:r w:rsidR="00B32FDF">
        <w:t>bstoječe objekte in dozidavo,</w:t>
      </w:r>
    </w:p>
    <w:p w14:paraId="09427334" w14:textId="77777777" w:rsidR="00B32FDF" w:rsidRDefault="00707185" w:rsidP="00707185">
      <w:pPr>
        <w:pStyle w:val="Brezrazmikov"/>
        <w:numPr>
          <w:ilvl w:val="0"/>
          <w:numId w:val="4"/>
        </w:numPr>
        <w:ind w:left="567"/>
        <w:jc w:val="both"/>
      </w:pPr>
      <w:r>
        <w:t>u</w:t>
      </w:r>
      <w:r w:rsidR="00B32FDF">
        <w:t>rejanje terena in odprtega prostora,</w:t>
      </w:r>
    </w:p>
    <w:p w14:paraId="554A53AD" w14:textId="77777777" w:rsidR="00B32FDF" w:rsidRDefault="00707185" w:rsidP="00707185">
      <w:pPr>
        <w:pStyle w:val="Brezrazmikov"/>
        <w:numPr>
          <w:ilvl w:val="0"/>
          <w:numId w:val="4"/>
        </w:numPr>
        <w:ind w:left="567"/>
        <w:jc w:val="both"/>
      </w:pPr>
      <w:r>
        <w:t>p</w:t>
      </w:r>
      <w:r w:rsidR="00B32FDF">
        <w:t>ogoje za prometno urejanje,</w:t>
      </w:r>
    </w:p>
    <w:p w14:paraId="1F79001F" w14:textId="77777777" w:rsidR="00B32FDF" w:rsidRDefault="00707185" w:rsidP="00707185">
      <w:pPr>
        <w:pStyle w:val="Brezrazmikov"/>
        <w:numPr>
          <w:ilvl w:val="0"/>
          <w:numId w:val="4"/>
        </w:numPr>
        <w:ind w:left="567"/>
        <w:jc w:val="both"/>
      </w:pPr>
      <w:r>
        <w:t>p</w:t>
      </w:r>
      <w:r w:rsidR="00B32FDF">
        <w:t>ogoje za komunalno urejanje.</w:t>
      </w:r>
    </w:p>
    <w:p w14:paraId="00066ACD" w14:textId="77777777" w:rsidR="00B32FDF" w:rsidRDefault="00B32FDF" w:rsidP="0048575B">
      <w:pPr>
        <w:pStyle w:val="Brezrazmikov"/>
        <w:jc w:val="both"/>
      </w:pPr>
      <w:r>
        <w:t>Zazidalni načrt je zasnovan na obstoječi parcelaciji, ki se deloma spreminja v območju rekonstrukcije vozišča na obstoječi cesti (razvidno iz grafičnih prilog).</w:t>
      </w:r>
    </w:p>
    <w:p w14:paraId="113BDD2B" w14:textId="77777777" w:rsidR="00B32FDF" w:rsidRDefault="00B32FDF" w:rsidP="0048575B">
      <w:pPr>
        <w:pStyle w:val="Brezrazmikov"/>
        <w:jc w:val="both"/>
      </w:pPr>
      <w:r>
        <w:t>Novi parceli sta predvideni na občinskem zemljišču in oblikovani v skladu z zazidalno situacijo.</w:t>
      </w:r>
    </w:p>
    <w:p w14:paraId="40A071EB" w14:textId="77777777" w:rsidR="00B32FDF" w:rsidRDefault="00B32FDF" w:rsidP="0048575B">
      <w:pPr>
        <w:pStyle w:val="Brezrazmikov"/>
        <w:jc w:val="both"/>
      </w:pPr>
      <w:r>
        <w:t>Kraške vrtače je dopustno urejati za urbano rabo. Vrtača na zemljišču parcele št. 753/3 in usek na zemljišču parcele št. 969/3 se do ustrezne višine zasujeta po pogojih geološkega poročila, ki je sestavni del tega zazidalnega načrta.</w:t>
      </w:r>
    </w:p>
    <w:p w14:paraId="663F2DD0" w14:textId="77777777" w:rsidR="00B32FDF" w:rsidRDefault="00B32FDF" w:rsidP="0048575B">
      <w:pPr>
        <w:pStyle w:val="Brezrazmikov"/>
        <w:jc w:val="both"/>
      </w:pPr>
      <w:r>
        <w:t>Pri urejanju in oblikovanju odprtega prostora je potrebno upoštevati kraško značilnost območja; teren se mora oblikovati s kamnitimi škarpami, zelene površine naj se v večji meri zasajajo z avtohtono vegetacijo.</w:t>
      </w:r>
    </w:p>
    <w:p w14:paraId="20CD6C57" w14:textId="77777777" w:rsidR="00B32FDF" w:rsidRDefault="00B32FDF" w:rsidP="0048575B">
      <w:pPr>
        <w:pStyle w:val="Brezrazmikov"/>
        <w:jc w:val="both"/>
      </w:pPr>
      <w:r>
        <w:t xml:space="preserve">Novi objekti se zasnovani ob dostopni cesti. Njihova postavitev sledi </w:t>
      </w:r>
      <w:proofErr w:type="spellStart"/>
      <w:r>
        <w:t>heliotermični</w:t>
      </w:r>
      <w:proofErr w:type="spellEnd"/>
      <w:r>
        <w:t xml:space="preserve"> osi.</w:t>
      </w:r>
    </w:p>
    <w:p w14:paraId="03C20F0A" w14:textId="77777777" w:rsidR="00B32FDF" w:rsidRDefault="00B32FDF" w:rsidP="0048575B">
      <w:pPr>
        <w:pStyle w:val="Brezrazmikov"/>
        <w:jc w:val="both"/>
      </w:pPr>
      <w:r>
        <w:t xml:space="preserve">Objekti morajo biti odmaknjeni od ceste vsaj 5 m. </w:t>
      </w:r>
      <w:r w:rsidR="00707185">
        <w:t>U</w:t>
      </w:r>
      <w:r>
        <w:t>voz v garažo mora biti odmaknjen od pločnika najmanj 6 m.</w:t>
      </w:r>
    </w:p>
    <w:p w14:paraId="46C7A668" w14:textId="77777777" w:rsidR="00B32FDF" w:rsidRDefault="00B32FDF" w:rsidP="0048575B">
      <w:pPr>
        <w:pStyle w:val="Brezrazmikov"/>
        <w:jc w:val="both"/>
      </w:pPr>
      <w:r>
        <w:t>Objekti so lahko odmaknjeni od parcelne meje</w:t>
      </w:r>
      <w:r w:rsidR="00061EA7">
        <w:t xml:space="preserve"> manj kot 4 m, vendar ne manj kot 2,5 m, če je sosednji objekt oddaljen najmanj 6 m in dano soglasje lastnika mejne parcele.</w:t>
      </w:r>
    </w:p>
    <w:p w14:paraId="7447D153" w14:textId="77777777" w:rsidR="00061EA7" w:rsidRDefault="00061EA7" w:rsidP="0048575B">
      <w:pPr>
        <w:pStyle w:val="Brezrazmikov"/>
        <w:jc w:val="both"/>
      </w:pPr>
    </w:p>
    <w:p w14:paraId="02364C6D" w14:textId="77777777" w:rsidR="00061EA7" w:rsidRDefault="00061EA7" w:rsidP="0048575B">
      <w:pPr>
        <w:pStyle w:val="Brezrazmikov"/>
        <w:jc w:val="both"/>
      </w:pPr>
    </w:p>
    <w:p w14:paraId="781E9B08" w14:textId="77777777" w:rsidR="00061EA7" w:rsidRDefault="00061EA7" w:rsidP="003D2B7F">
      <w:pPr>
        <w:pStyle w:val="Brezrazmikov"/>
        <w:jc w:val="center"/>
      </w:pPr>
      <w:r>
        <w:t>V. POGOJI ZA ARHITEKTONSKO OBLIKOVANJE OBJEKTOV IN DRUGIH POSEGOV</w:t>
      </w:r>
    </w:p>
    <w:p w14:paraId="492E6CE8" w14:textId="77777777" w:rsidR="00061EA7" w:rsidRDefault="00061EA7" w:rsidP="003D2B7F">
      <w:pPr>
        <w:pStyle w:val="Brezrazmikov"/>
        <w:jc w:val="center"/>
      </w:pPr>
    </w:p>
    <w:p w14:paraId="1514D986" w14:textId="77777777" w:rsidR="00061EA7" w:rsidRDefault="00061EA7" w:rsidP="003D2B7F">
      <w:pPr>
        <w:pStyle w:val="Brezrazmikov"/>
        <w:jc w:val="center"/>
      </w:pPr>
      <w:r>
        <w:t>8. člen</w:t>
      </w:r>
    </w:p>
    <w:p w14:paraId="5BE9A9F7" w14:textId="77777777" w:rsidR="00061EA7" w:rsidRDefault="00061EA7" w:rsidP="0048575B">
      <w:pPr>
        <w:pStyle w:val="Brezrazmikov"/>
        <w:jc w:val="both"/>
      </w:pPr>
    </w:p>
    <w:p w14:paraId="2E2A6317" w14:textId="77777777" w:rsidR="00061EA7" w:rsidRDefault="00061EA7" w:rsidP="0048575B">
      <w:pPr>
        <w:pStyle w:val="Brezrazmikov"/>
        <w:jc w:val="both"/>
      </w:pPr>
      <w:r>
        <w:t>Pri arhitektonskem oblikovanju objektov in drugih posegih je potrebno upoštevati merila in pogoje za posege v prostor. Te določajo grafični prikazi in podrobnejši opisi v tekstualnem delu tega zazidalnega načrta.</w:t>
      </w:r>
    </w:p>
    <w:p w14:paraId="2B283496" w14:textId="77777777" w:rsidR="00061EA7" w:rsidRDefault="00061EA7" w:rsidP="0048575B">
      <w:pPr>
        <w:pStyle w:val="Brezrazmikov"/>
        <w:jc w:val="both"/>
      </w:pPr>
      <w:r>
        <w:t xml:space="preserve">Kota pritličja je določena v zazidalni situaciji: numerični podatki (varianta št. 1, št. 2). </w:t>
      </w:r>
      <w:r w:rsidR="003D2B7F">
        <w:t>D</w:t>
      </w:r>
      <w:r>
        <w:t xml:space="preserve">ovoljena toleranca je </w:t>
      </w:r>
      <w:r>
        <w:rPr>
          <w:rFonts w:cs="Arial"/>
        </w:rPr>
        <w:t>±</w:t>
      </w:r>
      <w:r>
        <w:t xml:space="preserve"> 30 cm.</w:t>
      </w:r>
    </w:p>
    <w:p w14:paraId="4076200E" w14:textId="77777777" w:rsidR="00061EA7" w:rsidRDefault="00061EA7" w:rsidP="0048575B">
      <w:pPr>
        <w:pStyle w:val="Brezrazmikov"/>
        <w:jc w:val="both"/>
      </w:pPr>
      <w:r>
        <w:t>Klet (varianta 1, 2) je lahko v celoti ali delno vkopana. Višina in oblika vkopa se prilagaja dovoljeni koti pritličja in konfiguraciji terena.</w:t>
      </w:r>
    </w:p>
    <w:p w14:paraId="0EB89075" w14:textId="77777777" w:rsidR="00061EA7" w:rsidRDefault="00061EA7" w:rsidP="0048575B">
      <w:pPr>
        <w:pStyle w:val="Brezrazmikov"/>
        <w:jc w:val="both"/>
      </w:pPr>
    </w:p>
    <w:p w14:paraId="598A8409" w14:textId="77777777" w:rsidR="00061EA7" w:rsidRDefault="00061EA7" w:rsidP="0048575B">
      <w:pPr>
        <w:pStyle w:val="Brezrazmikov"/>
        <w:jc w:val="both"/>
      </w:pPr>
      <w:r>
        <w:t>Pogoji oblikovanja objektov, varianta 1:</w:t>
      </w:r>
    </w:p>
    <w:p w14:paraId="31F83B91" w14:textId="77777777" w:rsidR="00061EA7" w:rsidRDefault="00061EA7" w:rsidP="0048575B">
      <w:pPr>
        <w:pStyle w:val="Brezrazmikov"/>
        <w:jc w:val="both"/>
      </w:pPr>
      <w:r>
        <w:t xml:space="preserve">Osnovni tloris je pravokotnik, oblikovan v razmerju stranic 1:1,4 oziroma 11 x 14 m </w:t>
      </w:r>
      <w:r>
        <w:rPr>
          <w:rFonts w:cs="Arial"/>
        </w:rPr>
        <w:t>±</w:t>
      </w:r>
      <w:r>
        <w:t xml:space="preserve"> 2 m.</w:t>
      </w:r>
    </w:p>
    <w:p w14:paraId="1B11EB8A" w14:textId="77777777" w:rsidR="00061EA7" w:rsidRDefault="00061EA7" w:rsidP="0048575B">
      <w:pPr>
        <w:pStyle w:val="Brezrazmikov"/>
        <w:jc w:val="both"/>
      </w:pPr>
      <w:r>
        <w:t>Dovoljeno je dograjevanje osnovnega tlorisa s funkcionalnimi površinami, ki po velikosti in obliki ohranjajo tlorisno zasnovo pravokotnika. Intenzivnost izrabe ne sme presegati razmerja 40 % pozidanega nasproti 60 % nepozidanega zemljišča.</w:t>
      </w:r>
    </w:p>
    <w:p w14:paraId="1985DA03" w14:textId="77777777" w:rsidR="00061EA7" w:rsidRDefault="00061EA7" w:rsidP="0048575B">
      <w:pPr>
        <w:pStyle w:val="Brezrazmikov"/>
        <w:jc w:val="both"/>
      </w:pPr>
      <w:r>
        <w:t xml:space="preserve">Višina vseh objektov je K+P+M. Višina strehe ob kapu je min 2,25 m. </w:t>
      </w:r>
      <w:proofErr w:type="spellStart"/>
      <w:r>
        <w:t>Kolenčni</w:t>
      </w:r>
      <w:proofErr w:type="spellEnd"/>
      <w:r>
        <w:t xml:space="preserve"> zid je 80 cm.</w:t>
      </w:r>
    </w:p>
    <w:p w14:paraId="3F096681" w14:textId="77777777" w:rsidR="00061EA7" w:rsidRDefault="00061EA7" w:rsidP="0048575B">
      <w:pPr>
        <w:pStyle w:val="Brezrazmikov"/>
        <w:jc w:val="both"/>
      </w:pPr>
      <w:r>
        <w:t>Streha nad osnovnim objektom je simetrična dvokapnica. Priključne strehe so lahko simetrične dvokapnice ali enokapnice.</w:t>
      </w:r>
    </w:p>
    <w:p w14:paraId="66AE2C4A" w14:textId="77777777" w:rsidR="00061EA7" w:rsidRDefault="00061EA7" w:rsidP="0048575B">
      <w:pPr>
        <w:pStyle w:val="Brezrazmikov"/>
        <w:jc w:val="both"/>
      </w:pPr>
      <w:r>
        <w:t>Dovoljeni naklon strešin je 38 do 42 stopinj. Kritina mora biti enotna. Možen je opečni ali betonski zareznik opečne barve.</w:t>
      </w:r>
    </w:p>
    <w:p w14:paraId="42E61363" w14:textId="77777777" w:rsidR="00061EA7" w:rsidRDefault="00061EA7" w:rsidP="0048575B">
      <w:pPr>
        <w:pStyle w:val="Brezrazmikov"/>
        <w:jc w:val="both"/>
      </w:pPr>
      <w:r>
        <w:t xml:space="preserve">Notranji prostori se lahko odpirajo navzven s steklenimi stenami – panoramske stene, zimski vrtovi… Polne fasade so obdelane v </w:t>
      </w:r>
      <w:proofErr w:type="spellStart"/>
      <w:r>
        <w:t>zaglajenem</w:t>
      </w:r>
      <w:proofErr w:type="spellEnd"/>
      <w:r>
        <w:t xml:space="preserve"> ometu.</w:t>
      </w:r>
    </w:p>
    <w:p w14:paraId="0F828426" w14:textId="77777777" w:rsidR="00061EA7" w:rsidRDefault="00061EA7" w:rsidP="0048575B">
      <w:pPr>
        <w:pStyle w:val="Brezrazmikov"/>
        <w:jc w:val="both"/>
      </w:pPr>
    </w:p>
    <w:p w14:paraId="1D146EB6" w14:textId="77777777" w:rsidR="00061EA7" w:rsidRDefault="00061EA7" w:rsidP="0048575B">
      <w:pPr>
        <w:pStyle w:val="Brezrazmikov"/>
        <w:jc w:val="both"/>
      </w:pPr>
      <w:r>
        <w:t>Pogoji oblikovanja, varianta 2:</w:t>
      </w:r>
    </w:p>
    <w:p w14:paraId="33E80BD8" w14:textId="77777777" w:rsidR="00061EA7" w:rsidRDefault="00061EA7" w:rsidP="0048575B">
      <w:pPr>
        <w:pStyle w:val="Brezrazmikov"/>
        <w:jc w:val="both"/>
      </w:pPr>
      <w:r>
        <w:t xml:space="preserve">Oblika in velikosti </w:t>
      </w:r>
      <w:r w:rsidR="003D2B7F">
        <w:t xml:space="preserve">posameznih </w:t>
      </w:r>
      <w:r>
        <w:t>tloriso</w:t>
      </w:r>
      <w:r w:rsidR="003D2B7F">
        <w:t>v so določene v grafičnem delu.</w:t>
      </w:r>
    </w:p>
    <w:p w14:paraId="681B1B22" w14:textId="77777777" w:rsidR="003D2B7F" w:rsidRDefault="003D2B7F" w:rsidP="0048575B">
      <w:pPr>
        <w:pStyle w:val="Brezrazmikov"/>
        <w:jc w:val="both"/>
      </w:pPr>
      <w:r>
        <w:t xml:space="preserve">Tini in </w:t>
      </w:r>
      <w:proofErr w:type="spellStart"/>
      <w:r>
        <w:t>erkerji</w:t>
      </w:r>
      <w:proofErr w:type="spellEnd"/>
      <w:r>
        <w:t xml:space="preserve"> morajo biti oblikovani pravokotno.</w:t>
      </w:r>
    </w:p>
    <w:p w14:paraId="72ECD3FF" w14:textId="77777777" w:rsidR="003D2B7F" w:rsidRDefault="003D2B7F" w:rsidP="0048575B">
      <w:pPr>
        <w:pStyle w:val="Brezrazmikov"/>
        <w:jc w:val="both"/>
      </w:pPr>
      <w:r>
        <w:t xml:space="preserve">Višinski gabarit je K+P+M in K+P+N. Dovoljena višina </w:t>
      </w:r>
      <w:proofErr w:type="spellStart"/>
      <w:r>
        <w:t>kolenčnega</w:t>
      </w:r>
      <w:proofErr w:type="spellEnd"/>
      <w:r>
        <w:t xml:space="preserve"> zidu je največ 120 cm pri objektih z oznako 2,3,6,9 in največ 80 cm pri objektih z oznako 1,4,5,7.</w:t>
      </w:r>
    </w:p>
    <w:p w14:paraId="028DC604" w14:textId="77777777" w:rsidR="003D2B7F" w:rsidRDefault="003D2B7F" w:rsidP="0048575B">
      <w:pPr>
        <w:pStyle w:val="Brezrazmikov"/>
        <w:jc w:val="both"/>
      </w:pPr>
      <w:r>
        <w:t>Streha nad osnovnim tlorisom je simetrična dvokapnica s čopi. Priključne strehe so lahko navadne dvokapnice ali enokapnice.</w:t>
      </w:r>
    </w:p>
    <w:p w14:paraId="13F23BFB" w14:textId="77777777" w:rsidR="003D2B7F" w:rsidRDefault="003D2B7F" w:rsidP="0048575B">
      <w:pPr>
        <w:pStyle w:val="Brezrazmikov"/>
        <w:jc w:val="both"/>
      </w:pPr>
      <w:r>
        <w:t>Dovoljeni naklon strešin je 35 do 42 stopinj. Kritina mora biti enotna. Možen je opečni ali betonski zareznik opečne barve.</w:t>
      </w:r>
    </w:p>
    <w:p w14:paraId="4EF3CC53" w14:textId="77777777" w:rsidR="003D2B7F" w:rsidRDefault="003D2B7F" w:rsidP="0048575B">
      <w:pPr>
        <w:pStyle w:val="Brezrazmikov"/>
        <w:jc w:val="both"/>
      </w:pPr>
      <w:r>
        <w:t xml:space="preserve">Fasade so obdelane v </w:t>
      </w:r>
      <w:proofErr w:type="spellStart"/>
      <w:r>
        <w:t>zaglajenem</w:t>
      </w:r>
      <w:proofErr w:type="spellEnd"/>
      <w:r>
        <w:t xml:space="preserve"> ometu.</w:t>
      </w:r>
    </w:p>
    <w:p w14:paraId="79F26936" w14:textId="77777777" w:rsidR="003D2B7F" w:rsidRDefault="003D2B7F" w:rsidP="0048575B">
      <w:pPr>
        <w:pStyle w:val="Brezrazmikov"/>
        <w:jc w:val="both"/>
      </w:pPr>
      <w:r>
        <w:t>Vsa okna so pravokotna, dopustna so tudi okrogla okna z največjim premerom 80 cm.</w:t>
      </w:r>
    </w:p>
    <w:p w14:paraId="63BB2D62" w14:textId="77777777" w:rsidR="003D2B7F" w:rsidRDefault="003D2B7F" w:rsidP="0048575B">
      <w:pPr>
        <w:pStyle w:val="Brezrazmikov"/>
        <w:jc w:val="both"/>
      </w:pPr>
    </w:p>
    <w:p w14:paraId="1EC8F0AE" w14:textId="77777777" w:rsidR="00707185" w:rsidRDefault="00707185" w:rsidP="0048575B">
      <w:pPr>
        <w:pStyle w:val="Brezrazmikov"/>
        <w:jc w:val="both"/>
      </w:pPr>
    </w:p>
    <w:p w14:paraId="1DC60227" w14:textId="77777777" w:rsidR="003D2B7F" w:rsidRDefault="00707185" w:rsidP="00707185">
      <w:pPr>
        <w:pStyle w:val="Brezrazmikov"/>
        <w:jc w:val="center"/>
      </w:pPr>
      <w:r>
        <w:t>VI. POGOJI ZA PROMETNO IN KOMUNALNO UREJANJE</w:t>
      </w:r>
    </w:p>
    <w:p w14:paraId="504D5BD2" w14:textId="77777777" w:rsidR="00707185" w:rsidRDefault="00707185" w:rsidP="00707185">
      <w:pPr>
        <w:pStyle w:val="Brezrazmikov"/>
        <w:jc w:val="center"/>
      </w:pPr>
    </w:p>
    <w:p w14:paraId="42C87655" w14:textId="77777777" w:rsidR="00707185" w:rsidRDefault="00707185" w:rsidP="00707185">
      <w:pPr>
        <w:pStyle w:val="Brezrazmikov"/>
        <w:jc w:val="center"/>
      </w:pPr>
      <w:r>
        <w:t>9. člen</w:t>
      </w:r>
    </w:p>
    <w:p w14:paraId="1F707C10" w14:textId="77777777" w:rsidR="00707185" w:rsidRDefault="00707185" w:rsidP="0048575B">
      <w:pPr>
        <w:pStyle w:val="Brezrazmikov"/>
        <w:jc w:val="both"/>
      </w:pPr>
    </w:p>
    <w:p w14:paraId="39543BD8" w14:textId="77777777" w:rsidR="00707185" w:rsidRDefault="00707185" w:rsidP="0048575B">
      <w:pPr>
        <w:pStyle w:val="Brezrazmikov"/>
        <w:jc w:val="both"/>
      </w:pPr>
      <w:r>
        <w:t>Promet</w:t>
      </w:r>
    </w:p>
    <w:p w14:paraId="6F8892A0" w14:textId="77777777" w:rsidR="00707185" w:rsidRDefault="00707185" w:rsidP="0048575B">
      <w:pPr>
        <w:pStyle w:val="Brezrazmikov"/>
        <w:jc w:val="both"/>
      </w:pPr>
      <w:r>
        <w:t>Območje urejanja se navezuje na obstoječo cesto. Za potrebe novega naselja se cesta rekonstruira do območja priključkov na R 409. Priključka v km 2,40 in km 2,68 se s tem dokumentom ne urejata.</w:t>
      </w:r>
    </w:p>
    <w:p w14:paraId="656DF710" w14:textId="77777777" w:rsidR="00707185" w:rsidRDefault="00707185" w:rsidP="0048575B">
      <w:pPr>
        <w:pStyle w:val="Brezrazmikov"/>
        <w:jc w:val="both"/>
      </w:pPr>
      <w:r>
        <w:t>Rekonstrukcija ceste predvideva naslednje elemente in širino:</w:t>
      </w:r>
    </w:p>
    <w:p w14:paraId="46AC133A" w14:textId="77777777" w:rsidR="00707185" w:rsidRDefault="00707185" w:rsidP="00707185">
      <w:pPr>
        <w:pStyle w:val="Brezrazmikov"/>
        <w:numPr>
          <w:ilvl w:val="0"/>
          <w:numId w:val="5"/>
        </w:numPr>
        <w:ind w:left="567"/>
        <w:jc w:val="both"/>
      </w:pPr>
      <w:r>
        <w:t>vozišče 4,0 m (2 x 2,0 m)</w:t>
      </w:r>
    </w:p>
    <w:p w14:paraId="526A7FEC" w14:textId="77777777" w:rsidR="00707185" w:rsidRDefault="00707185" w:rsidP="00707185">
      <w:pPr>
        <w:pStyle w:val="Brezrazmikov"/>
        <w:numPr>
          <w:ilvl w:val="0"/>
          <w:numId w:val="5"/>
        </w:numPr>
        <w:ind w:left="567"/>
        <w:jc w:val="both"/>
      </w:pPr>
      <w:r>
        <w:t>obojestranski enosmerni pločnik 2,6 m (2 x 1,3 m)</w:t>
      </w:r>
    </w:p>
    <w:p w14:paraId="5ABA5122" w14:textId="77777777" w:rsidR="00707185" w:rsidRDefault="00707185" w:rsidP="00707185">
      <w:pPr>
        <w:pStyle w:val="Brezrazmikov"/>
        <w:numPr>
          <w:ilvl w:val="0"/>
          <w:numId w:val="5"/>
        </w:numPr>
        <w:ind w:left="567"/>
        <w:jc w:val="both"/>
      </w:pPr>
      <w:r>
        <w:t>bankina, berma 1,0 m (2 x 0,5 m)</w:t>
      </w:r>
    </w:p>
    <w:p w14:paraId="38C75B5F" w14:textId="77777777" w:rsidR="00707185" w:rsidRDefault="00707185" w:rsidP="0048575B">
      <w:pPr>
        <w:pStyle w:val="Brezrazmikov"/>
        <w:jc w:val="both"/>
      </w:pPr>
      <w:r>
        <w:t>Pločnik je ločen od vozišča z višino (nivojsko).</w:t>
      </w:r>
    </w:p>
    <w:p w14:paraId="53091311" w14:textId="77777777" w:rsidR="00707185" w:rsidRDefault="00707185" w:rsidP="0048575B">
      <w:pPr>
        <w:pStyle w:val="Brezrazmikov"/>
        <w:jc w:val="both"/>
      </w:pPr>
      <w:r>
        <w:t>Površine so asfaltirane in zaključene z robniki. V območju uvoza so robniki poglobljeni.</w:t>
      </w:r>
    </w:p>
    <w:p w14:paraId="1E2D5EED" w14:textId="77777777" w:rsidR="00707185" w:rsidRDefault="00707185" w:rsidP="0048575B">
      <w:pPr>
        <w:pStyle w:val="Brezrazmikov"/>
        <w:jc w:val="both"/>
      </w:pPr>
      <w:r>
        <w:lastRenderedPageBreak/>
        <w:t>Bankine so odklonjene od vozišča, utrjene in urejene. Brežine so nizke, z naklonom 2 : 3 in zelene.</w:t>
      </w:r>
    </w:p>
    <w:p w14:paraId="4D9F6537" w14:textId="77777777" w:rsidR="00707185" w:rsidRDefault="00707185" w:rsidP="0048575B">
      <w:pPr>
        <w:pStyle w:val="Brezrazmikov"/>
        <w:jc w:val="both"/>
      </w:pPr>
      <w:r>
        <w:t>Odvodnjavanje meteorne vode je speljano preko cestnih požiralnikov s peskolovi v okoliške travne površine in ponikovalnico.</w:t>
      </w:r>
    </w:p>
    <w:p w14:paraId="76FAD4E1" w14:textId="77777777" w:rsidR="00707185" w:rsidRDefault="00707185" w:rsidP="0048575B">
      <w:pPr>
        <w:pStyle w:val="Brezrazmikov"/>
        <w:jc w:val="both"/>
      </w:pPr>
      <w:r>
        <w:t>Križišča in priključki: priključki novih objektov se izvedejo v skladu z zazidalno situacijo – prometna ureditev.</w:t>
      </w:r>
    </w:p>
    <w:p w14:paraId="0FC5BD25" w14:textId="77777777" w:rsidR="00707185" w:rsidRDefault="00707185" w:rsidP="0048575B">
      <w:pPr>
        <w:pStyle w:val="Brezrazmikov"/>
        <w:jc w:val="both"/>
      </w:pPr>
      <w:r>
        <w:t>Parkirne površine se morajo urediti na funkcionalnem zemljišču posameznega objekta.</w:t>
      </w:r>
    </w:p>
    <w:p w14:paraId="2FF5DC3B" w14:textId="77777777" w:rsidR="00707185" w:rsidRDefault="00707185" w:rsidP="0048575B">
      <w:pPr>
        <w:pStyle w:val="Brezrazmikov"/>
        <w:jc w:val="both"/>
      </w:pPr>
    </w:p>
    <w:p w14:paraId="060E8839" w14:textId="77777777" w:rsidR="00707185" w:rsidRDefault="00707185" w:rsidP="00707185">
      <w:pPr>
        <w:pStyle w:val="Brezrazmikov"/>
        <w:jc w:val="center"/>
      </w:pPr>
      <w:r>
        <w:t>10. člen</w:t>
      </w:r>
    </w:p>
    <w:p w14:paraId="768C9C70" w14:textId="77777777" w:rsidR="00707185" w:rsidRDefault="00707185" w:rsidP="0048575B">
      <w:pPr>
        <w:pStyle w:val="Brezrazmikov"/>
        <w:jc w:val="both"/>
      </w:pPr>
    </w:p>
    <w:p w14:paraId="0B5A7B90" w14:textId="77777777" w:rsidR="00707185" w:rsidRDefault="00707185" w:rsidP="0048575B">
      <w:pPr>
        <w:pStyle w:val="Brezrazmikov"/>
        <w:jc w:val="both"/>
      </w:pPr>
      <w:r>
        <w:t>Skupni pogoji za komunalno in energetsko urejanje:</w:t>
      </w:r>
    </w:p>
    <w:p w14:paraId="2942F4FE" w14:textId="77777777" w:rsidR="00707185" w:rsidRDefault="005214EB" w:rsidP="0048575B">
      <w:pPr>
        <w:pStyle w:val="Brezrazmikov"/>
        <w:jc w:val="both"/>
      </w:pPr>
      <w:r>
        <w:t>Vsi obstoječi in novi objekti, ki jih obravnava ta zazidalni načrt se morajo priključiti na javna komunalna in energetska omrežja za: oskrbo z vodo, odvajanje odpadnih voda, oskrbo z električno energijo, javno razsvetljavo in telekomunikacijsko omrežje.</w:t>
      </w:r>
    </w:p>
    <w:p w14:paraId="08BD782A" w14:textId="77777777" w:rsidR="005214EB" w:rsidRDefault="005214EB" w:rsidP="0048575B">
      <w:pPr>
        <w:pStyle w:val="Brezrazmikov"/>
        <w:jc w:val="both"/>
      </w:pPr>
      <w:r>
        <w:t>Vse priključke, ki potekajo izven ureditvenega območja tega zazidalnega načrta je potrebno izvajati v skladu s pogoji upravljavcev in po posebni dokumentaciji.</w:t>
      </w:r>
    </w:p>
    <w:p w14:paraId="67B78619" w14:textId="77777777" w:rsidR="005214EB" w:rsidRDefault="005214EB" w:rsidP="0048575B">
      <w:pPr>
        <w:pStyle w:val="Brezrazmikov"/>
        <w:jc w:val="both"/>
      </w:pPr>
      <w:r>
        <w:t>Primarno in sekundarno komunalno omrežje poteka praviloma v cestnem telesu ali ob njem.</w:t>
      </w:r>
    </w:p>
    <w:p w14:paraId="06A058AF" w14:textId="77777777" w:rsidR="005214EB" w:rsidRDefault="005214EB" w:rsidP="0048575B">
      <w:pPr>
        <w:pStyle w:val="Brezrazmikov"/>
        <w:jc w:val="both"/>
      </w:pPr>
      <w:r>
        <w:t>Dovoljene so spremembe tras posameznih komunalnih vodov v primeru ustreznejše tehnične rešitve in v skladu z načrtovano ureditvijo sosednjih območij.</w:t>
      </w:r>
    </w:p>
    <w:p w14:paraId="5076DEC1" w14:textId="77777777" w:rsidR="005214EB" w:rsidRDefault="005214EB" w:rsidP="0048575B">
      <w:pPr>
        <w:pStyle w:val="Brezrazmikov"/>
        <w:jc w:val="both"/>
      </w:pPr>
      <w:r>
        <w:t>Vsi obstoječi komunalni in energetski vodi se uredijo v skladu s pogoji tega zazidalnega načrta.</w:t>
      </w:r>
    </w:p>
    <w:p w14:paraId="7B4C8041" w14:textId="77777777" w:rsidR="00007C9A" w:rsidRPr="002C13F8" w:rsidRDefault="00007C9A" w:rsidP="0048575B">
      <w:pPr>
        <w:pStyle w:val="Brezrazmikov"/>
        <w:jc w:val="both"/>
      </w:pPr>
      <w:r w:rsidRPr="002C13F8">
        <w:t>Objekt z oznako št. 1 se priključi na obstoječo javno komunalno infrastrukturo z upoštevanjem smernic in pogojev, ki so jih podali nosilci urejanja prostora in so sestavni del tega odloka.</w:t>
      </w:r>
    </w:p>
    <w:p w14:paraId="40E13E44" w14:textId="77777777" w:rsidR="005214EB" w:rsidRDefault="005214EB" w:rsidP="0048575B">
      <w:pPr>
        <w:pStyle w:val="Brezrazmikov"/>
        <w:jc w:val="both"/>
      </w:pPr>
    </w:p>
    <w:p w14:paraId="1C1E8BE6" w14:textId="77777777" w:rsidR="005214EB" w:rsidRDefault="005214EB" w:rsidP="005214EB">
      <w:pPr>
        <w:pStyle w:val="Brezrazmikov"/>
        <w:jc w:val="center"/>
      </w:pPr>
      <w:r>
        <w:t>11. člen</w:t>
      </w:r>
    </w:p>
    <w:p w14:paraId="5AE9BE2F" w14:textId="77777777" w:rsidR="005214EB" w:rsidRDefault="005214EB" w:rsidP="0048575B">
      <w:pPr>
        <w:pStyle w:val="Brezrazmikov"/>
        <w:jc w:val="both"/>
      </w:pPr>
    </w:p>
    <w:p w14:paraId="543203CA" w14:textId="77777777" w:rsidR="005214EB" w:rsidRDefault="005214EB" w:rsidP="0048575B">
      <w:pPr>
        <w:pStyle w:val="Brezrazmikov"/>
        <w:jc w:val="both"/>
      </w:pPr>
      <w:r>
        <w:t>Vodovodno omrežje</w:t>
      </w:r>
    </w:p>
    <w:p w14:paraId="1DC839BF" w14:textId="77777777" w:rsidR="005214EB" w:rsidRDefault="005214EB" w:rsidP="0048575B">
      <w:pPr>
        <w:pStyle w:val="Brezrazmikov"/>
        <w:jc w:val="both"/>
      </w:pPr>
      <w:r>
        <w:t>V območju urejanja se zgradi ustrezno vodovodno omrežje s požarno varnostjo.</w:t>
      </w:r>
    </w:p>
    <w:p w14:paraId="255C144D" w14:textId="77777777" w:rsidR="005214EB" w:rsidRDefault="005214EB" w:rsidP="0048575B">
      <w:pPr>
        <w:pStyle w:val="Brezrazmikov"/>
        <w:jc w:val="both"/>
      </w:pPr>
      <w:r>
        <w:t>Priključek na obstoječe omrežje poteka izven območja urejanja in se ureja s posebno dokumentacijo.</w:t>
      </w:r>
    </w:p>
    <w:p w14:paraId="5883A57D" w14:textId="77777777" w:rsidR="005214EB" w:rsidRDefault="005214EB" w:rsidP="0048575B">
      <w:pPr>
        <w:pStyle w:val="Brezrazmikov"/>
        <w:jc w:val="both"/>
      </w:pPr>
    </w:p>
    <w:p w14:paraId="4D708C3E" w14:textId="77777777" w:rsidR="00F21F69" w:rsidRDefault="00F21F69" w:rsidP="00F21F69">
      <w:pPr>
        <w:pStyle w:val="Brezrazmikov"/>
        <w:jc w:val="center"/>
      </w:pPr>
      <w:r>
        <w:t>12. člen</w:t>
      </w:r>
    </w:p>
    <w:p w14:paraId="71C10C93" w14:textId="77777777" w:rsidR="00F21F69" w:rsidRDefault="00F21F69" w:rsidP="0048575B">
      <w:pPr>
        <w:pStyle w:val="Brezrazmikov"/>
        <w:jc w:val="both"/>
      </w:pPr>
    </w:p>
    <w:p w14:paraId="160C4C61" w14:textId="77777777" w:rsidR="00F21F69" w:rsidRDefault="00F21F69" w:rsidP="0048575B">
      <w:pPr>
        <w:pStyle w:val="Brezrazmikov"/>
        <w:jc w:val="both"/>
      </w:pPr>
      <w:r>
        <w:t>Kanalizacija</w:t>
      </w:r>
    </w:p>
    <w:p w14:paraId="70DAEB25" w14:textId="77777777" w:rsidR="00F21F69" w:rsidRDefault="00F21F69" w:rsidP="0048575B">
      <w:pPr>
        <w:pStyle w:val="Brezrazmikov"/>
        <w:jc w:val="both"/>
      </w:pPr>
      <w:r>
        <w:t xml:space="preserve">V območju urejanja se zgradi sanitarna kanalizacija. </w:t>
      </w:r>
    </w:p>
    <w:p w14:paraId="197BD657" w14:textId="77777777" w:rsidR="00F21F69" w:rsidRDefault="00F21F69" w:rsidP="0048575B">
      <w:pPr>
        <w:pStyle w:val="Brezrazmikov"/>
        <w:jc w:val="both"/>
      </w:pPr>
      <w:r>
        <w:t>Priključek na obstoječe omrežje, ki poteka v Idrijski cesti (A kanal), se ureja s posebno dokumentacijo na podlagi idejnega projekta, ki je sestavni del tega zazidalnega načrta.</w:t>
      </w:r>
    </w:p>
    <w:p w14:paraId="3EDA90A9" w14:textId="77777777" w:rsidR="00F21F69" w:rsidRDefault="00F21F69" w:rsidP="0048575B">
      <w:pPr>
        <w:pStyle w:val="Brezrazmikov"/>
        <w:jc w:val="both"/>
      </w:pPr>
    </w:p>
    <w:p w14:paraId="61EC810E" w14:textId="77777777" w:rsidR="00F21F69" w:rsidRDefault="00F21F69" w:rsidP="00F21F69">
      <w:pPr>
        <w:pStyle w:val="Brezrazmikov"/>
        <w:jc w:val="center"/>
      </w:pPr>
      <w:r>
        <w:t>13. člen</w:t>
      </w:r>
    </w:p>
    <w:p w14:paraId="491FD1DF" w14:textId="77777777" w:rsidR="00F21F69" w:rsidRDefault="00F21F69" w:rsidP="0048575B">
      <w:pPr>
        <w:pStyle w:val="Brezrazmikov"/>
        <w:jc w:val="both"/>
      </w:pPr>
    </w:p>
    <w:p w14:paraId="64C34568" w14:textId="77777777" w:rsidR="00F21F69" w:rsidRDefault="00F21F69" w:rsidP="0048575B">
      <w:pPr>
        <w:pStyle w:val="Brezrazmikov"/>
        <w:jc w:val="both"/>
      </w:pPr>
      <w:r>
        <w:t>Električno omrežje</w:t>
      </w:r>
    </w:p>
    <w:p w14:paraId="324A881D" w14:textId="77777777" w:rsidR="00F21F69" w:rsidRDefault="00F21F69" w:rsidP="0048575B">
      <w:pPr>
        <w:pStyle w:val="Brezrazmikov"/>
        <w:jc w:val="both"/>
      </w:pPr>
      <w:r>
        <w:t>V območju urejanja se zgradi ustrezno NN omrežje. Za izgradnjo omrežja je potrebno na osnovi podatkov o pričakovanih priključnih močeh izdelati ustrezen idejni projekt oziroma PZI.</w:t>
      </w:r>
    </w:p>
    <w:p w14:paraId="70549880" w14:textId="77777777" w:rsidR="005214EB" w:rsidRDefault="00F21F69" w:rsidP="0048575B">
      <w:pPr>
        <w:pStyle w:val="Brezrazmikov"/>
        <w:jc w:val="both"/>
      </w:pPr>
      <w:r>
        <w:t>Priključek na obstoječe omrežje poteka izven območja urejanja in se ureja s posebno dokumentacijo.</w:t>
      </w:r>
    </w:p>
    <w:p w14:paraId="786B49C7" w14:textId="77777777" w:rsidR="00F21F69" w:rsidRDefault="00F21F69" w:rsidP="0048575B">
      <w:pPr>
        <w:pStyle w:val="Brezrazmikov"/>
        <w:jc w:val="both"/>
      </w:pPr>
    </w:p>
    <w:p w14:paraId="46FA4B0F" w14:textId="77777777" w:rsidR="00F21F69" w:rsidRDefault="00F21F69" w:rsidP="00F21F69">
      <w:pPr>
        <w:pStyle w:val="Brezrazmikov"/>
        <w:jc w:val="center"/>
      </w:pPr>
      <w:r>
        <w:t>14. člen</w:t>
      </w:r>
    </w:p>
    <w:p w14:paraId="0B1E4A5B" w14:textId="77777777" w:rsidR="00F21F69" w:rsidRDefault="00F21F69" w:rsidP="0048575B">
      <w:pPr>
        <w:pStyle w:val="Brezrazmikov"/>
        <w:jc w:val="both"/>
      </w:pPr>
    </w:p>
    <w:p w14:paraId="2417389C" w14:textId="77777777" w:rsidR="00F21F69" w:rsidRDefault="00F21F69" w:rsidP="0048575B">
      <w:pPr>
        <w:pStyle w:val="Brezrazmikov"/>
        <w:jc w:val="both"/>
      </w:pPr>
      <w:r>
        <w:t>Javna razsvetljava</w:t>
      </w:r>
    </w:p>
    <w:p w14:paraId="29E39150" w14:textId="77777777" w:rsidR="00F21F69" w:rsidRDefault="00F21F69" w:rsidP="0048575B">
      <w:pPr>
        <w:pStyle w:val="Brezrazmikov"/>
        <w:jc w:val="both"/>
      </w:pPr>
      <w:r>
        <w:t>Za razsvetljavo je potrebno zgraditi napeljavo javne razsvetljave z novim odjemnim mestom moči 3 x 35A.</w:t>
      </w:r>
    </w:p>
    <w:p w14:paraId="1A4A7F55" w14:textId="77777777" w:rsidR="00F21F69" w:rsidRDefault="00F21F69" w:rsidP="0048575B">
      <w:pPr>
        <w:pStyle w:val="Brezrazmikov"/>
        <w:jc w:val="both"/>
      </w:pPr>
      <w:r>
        <w:t>Odjemno mesto je potrebno s posebno dokumentacijo postaviti na območje, ki omogoča osvetlitev tudi starega dela Gabrč.</w:t>
      </w:r>
    </w:p>
    <w:p w14:paraId="3703AE7B" w14:textId="77777777" w:rsidR="00F21F69" w:rsidRDefault="00F21F69" w:rsidP="0048575B">
      <w:pPr>
        <w:pStyle w:val="Brezrazmikov"/>
        <w:jc w:val="both"/>
      </w:pPr>
      <w:r>
        <w:t>Pri izgradnji javne razsvetljave je potrebno upoštevati naslednje pogoje:</w:t>
      </w:r>
    </w:p>
    <w:p w14:paraId="23496CEB" w14:textId="77777777" w:rsidR="00F21F69" w:rsidRDefault="00F21F69" w:rsidP="00F21F69">
      <w:pPr>
        <w:pStyle w:val="Brezrazmikov"/>
        <w:numPr>
          <w:ilvl w:val="0"/>
          <w:numId w:val="6"/>
        </w:numPr>
        <w:ind w:left="567"/>
        <w:jc w:val="both"/>
      </w:pPr>
      <w:r>
        <w:t>svetilke (Roma 1x70 W) višine 7 m, na razdalji do 60 m,</w:t>
      </w:r>
    </w:p>
    <w:p w14:paraId="52E42ABE" w14:textId="77777777" w:rsidR="00F21F69" w:rsidRDefault="00F21F69" w:rsidP="00F21F69">
      <w:pPr>
        <w:pStyle w:val="Brezrazmikov"/>
        <w:numPr>
          <w:ilvl w:val="0"/>
          <w:numId w:val="6"/>
        </w:numPr>
        <w:ind w:left="567"/>
        <w:jc w:val="both"/>
      </w:pPr>
      <w:r>
        <w:t>kable (PP 00 4x 16 mm2) v zaščitnih ceveh PVC (AE 110),</w:t>
      </w:r>
    </w:p>
    <w:p w14:paraId="16489DC8" w14:textId="77777777" w:rsidR="00F21F69" w:rsidRDefault="00F21F69" w:rsidP="00F21F69">
      <w:pPr>
        <w:pStyle w:val="Brezrazmikov"/>
        <w:numPr>
          <w:ilvl w:val="0"/>
          <w:numId w:val="6"/>
        </w:numPr>
        <w:ind w:left="567"/>
        <w:jc w:val="both"/>
      </w:pPr>
      <w:r>
        <w:lastRenderedPageBreak/>
        <w:t>vmesne jaške (AE 35 cm z LTŽ pokrovi 25 x 35 cm).</w:t>
      </w:r>
    </w:p>
    <w:p w14:paraId="7AD9C490" w14:textId="77777777" w:rsidR="00F21F69" w:rsidRDefault="00F21F69" w:rsidP="0048575B">
      <w:pPr>
        <w:pStyle w:val="Brezrazmikov"/>
        <w:jc w:val="both"/>
      </w:pPr>
    </w:p>
    <w:p w14:paraId="0F56D063" w14:textId="77777777" w:rsidR="00F21F69" w:rsidRDefault="00F21F69" w:rsidP="00F21F69">
      <w:pPr>
        <w:pStyle w:val="Brezrazmikov"/>
        <w:jc w:val="center"/>
      </w:pPr>
      <w:r>
        <w:t>15. člen</w:t>
      </w:r>
    </w:p>
    <w:p w14:paraId="1085140D" w14:textId="77777777" w:rsidR="00F21F69" w:rsidRDefault="00F21F69" w:rsidP="0048575B">
      <w:pPr>
        <w:pStyle w:val="Brezrazmikov"/>
        <w:jc w:val="both"/>
      </w:pPr>
    </w:p>
    <w:p w14:paraId="5C5EDF08" w14:textId="77777777" w:rsidR="00F21F69" w:rsidRDefault="00F21F69" w:rsidP="0048575B">
      <w:pPr>
        <w:pStyle w:val="Brezrazmikov"/>
        <w:jc w:val="both"/>
      </w:pPr>
      <w:r>
        <w:t>Telekomunikacijsko omrežje</w:t>
      </w:r>
    </w:p>
    <w:p w14:paraId="3E9F2B78" w14:textId="77777777" w:rsidR="00F21F69" w:rsidRDefault="00F21F69" w:rsidP="0048575B">
      <w:pPr>
        <w:pStyle w:val="Brezrazmikov"/>
        <w:jc w:val="both"/>
      </w:pPr>
      <w:r>
        <w:t>V območju urejanja se izvede telefonsko omrežje s priključki do objektov. Omrežje se naveže na obstoječe TK omrežje.</w:t>
      </w:r>
    </w:p>
    <w:p w14:paraId="7B537434" w14:textId="77777777" w:rsidR="00F21F69" w:rsidRDefault="00F21F69" w:rsidP="0048575B">
      <w:pPr>
        <w:pStyle w:val="Brezrazmikov"/>
        <w:jc w:val="both"/>
      </w:pPr>
      <w:r>
        <w:t>Pri izgradnji omrežja je potrebno upoštevati naslednje pogoje:</w:t>
      </w:r>
    </w:p>
    <w:p w14:paraId="4B9DF862" w14:textId="77777777" w:rsidR="00F21F69" w:rsidRDefault="007A2576" w:rsidP="007A2576">
      <w:pPr>
        <w:pStyle w:val="Brezrazmikov"/>
        <w:numPr>
          <w:ilvl w:val="0"/>
          <w:numId w:val="7"/>
        </w:numPr>
        <w:ind w:left="567"/>
        <w:jc w:val="both"/>
      </w:pPr>
      <w:r>
        <w:t>u</w:t>
      </w:r>
      <w:r w:rsidR="00F21F69">
        <w:t>poštevajo se trase obstoječega TK omrežja,</w:t>
      </w:r>
    </w:p>
    <w:p w14:paraId="064EAD6F" w14:textId="77777777" w:rsidR="00F21F69" w:rsidRDefault="007A2576" w:rsidP="007A2576">
      <w:pPr>
        <w:pStyle w:val="Brezrazmikov"/>
        <w:numPr>
          <w:ilvl w:val="0"/>
          <w:numId w:val="7"/>
        </w:numPr>
        <w:ind w:left="567"/>
        <w:jc w:val="both"/>
      </w:pPr>
      <w:r>
        <w:t>p</w:t>
      </w:r>
      <w:r w:rsidR="00F21F69">
        <w:t>ri posegu v prostor, kjer je TK omrežje zgrajeno je potrebno predhodno pridobiti soglasje Telekom Slovenije, PE Ljubljana, Investicijsko tehnična služba,</w:t>
      </w:r>
    </w:p>
    <w:p w14:paraId="13602909" w14:textId="77777777" w:rsidR="00F21F69" w:rsidRDefault="007A2576" w:rsidP="007A2576">
      <w:pPr>
        <w:pStyle w:val="Brezrazmikov"/>
        <w:numPr>
          <w:ilvl w:val="0"/>
          <w:numId w:val="7"/>
        </w:numPr>
        <w:ind w:left="567"/>
        <w:jc w:val="both"/>
      </w:pPr>
      <w:proofErr w:type="spellStart"/>
      <w:r>
        <w:t>e</w:t>
      </w:r>
      <w:r w:rsidR="00F21F69">
        <w:t>ventuelno</w:t>
      </w:r>
      <w:proofErr w:type="spellEnd"/>
      <w:r w:rsidR="00F21F69">
        <w:t xml:space="preserve"> potrebno zaščito ali prestavitev obstoječega TK omrežja nosi investitor gradnje na določenem območju,</w:t>
      </w:r>
    </w:p>
    <w:p w14:paraId="6B12EA1A" w14:textId="77777777" w:rsidR="00F21F69" w:rsidRDefault="007A2576" w:rsidP="007A2576">
      <w:pPr>
        <w:pStyle w:val="Brezrazmikov"/>
        <w:numPr>
          <w:ilvl w:val="0"/>
          <w:numId w:val="7"/>
        </w:numPr>
        <w:ind w:left="567"/>
        <w:jc w:val="both"/>
      </w:pPr>
      <w:r>
        <w:t>p</w:t>
      </w:r>
      <w:r w:rsidR="00F21F69">
        <w:t>rojekt priključitve na TK omrežje izdela uspos</w:t>
      </w:r>
      <w:r>
        <w:t>o</w:t>
      </w:r>
      <w:r w:rsidR="00F21F69">
        <w:t>bljena in registrirana projektantska organizacija po predhod</w:t>
      </w:r>
      <w:r>
        <w:t>ni</w:t>
      </w:r>
      <w:r w:rsidR="00F21F69">
        <w:t xml:space="preserve"> pridobitvi projektne naloge, ki jo izda Telekom Slovenije, PE Ljubljana</w:t>
      </w:r>
      <w:r>
        <w:t>. Stroške izdelave projekta TK omrežja nosi investitor gradnje na določenem območju.</w:t>
      </w:r>
    </w:p>
    <w:p w14:paraId="4FABCB40" w14:textId="77777777" w:rsidR="007A2576" w:rsidRDefault="007A2576" w:rsidP="0048575B">
      <w:pPr>
        <w:pStyle w:val="Brezrazmikov"/>
        <w:jc w:val="both"/>
      </w:pPr>
    </w:p>
    <w:p w14:paraId="0CA12DFF" w14:textId="77777777" w:rsidR="007A2576" w:rsidRDefault="007A2576" w:rsidP="007A2576">
      <w:pPr>
        <w:pStyle w:val="Brezrazmikov"/>
        <w:jc w:val="center"/>
      </w:pPr>
      <w:r>
        <w:t>16. člen</w:t>
      </w:r>
    </w:p>
    <w:p w14:paraId="1E6E37A7" w14:textId="77777777" w:rsidR="007A2576" w:rsidRDefault="007A2576" w:rsidP="0048575B">
      <w:pPr>
        <w:pStyle w:val="Brezrazmikov"/>
        <w:jc w:val="both"/>
      </w:pPr>
    </w:p>
    <w:p w14:paraId="0559B4FF" w14:textId="77777777" w:rsidR="00F21F69" w:rsidRDefault="007A2576" w:rsidP="0048575B">
      <w:pPr>
        <w:pStyle w:val="Brezrazmikov"/>
        <w:jc w:val="both"/>
      </w:pPr>
      <w:r>
        <w:t>Ogrevanje</w:t>
      </w:r>
    </w:p>
    <w:p w14:paraId="5D815E5F" w14:textId="77777777" w:rsidR="007A2576" w:rsidRDefault="007A2576" w:rsidP="0048575B">
      <w:pPr>
        <w:pStyle w:val="Brezrazmikov"/>
        <w:jc w:val="both"/>
      </w:pPr>
      <w:r>
        <w:t>V objektih se predvidijo individualna kurišča na trda ali tekoča goriva.</w:t>
      </w:r>
    </w:p>
    <w:p w14:paraId="470E4425" w14:textId="77777777" w:rsidR="007A2576" w:rsidRDefault="007A2576" w:rsidP="0048575B">
      <w:pPr>
        <w:pStyle w:val="Brezrazmikov"/>
        <w:jc w:val="both"/>
      </w:pPr>
      <w:r>
        <w:t xml:space="preserve">Kurilno olje je treba shranjevati v kovinskih ali plastičnih cisternah, ki so postavljene v ustrezne betonske kesone (oziroma v same stanovanjske objekte). Betonski kesoni morajo biti </w:t>
      </w:r>
      <w:proofErr w:type="spellStart"/>
      <w:r>
        <w:t>oljetesni</w:t>
      </w:r>
      <w:proofErr w:type="spellEnd"/>
      <w:r>
        <w:t xml:space="preserve"> in sposobni sprejeti vse možno razlito gorivo. Prostor, kjer se gorivo pretaka, mora biti utrjen, meteorno vodo s te površine je treba speljati v ponikovalnico preko usedalnika, ki je opremljen z lovilcem olja.</w:t>
      </w:r>
    </w:p>
    <w:p w14:paraId="09590CEC" w14:textId="77777777" w:rsidR="007A2576" w:rsidRDefault="007A2576" w:rsidP="0048575B">
      <w:pPr>
        <w:pStyle w:val="Brezrazmikov"/>
        <w:jc w:val="both"/>
      </w:pPr>
    </w:p>
    <w:p w14:paraId="3851662B" w14:textId="77777777" w:rsidR="007A2576" w:rsidRDefault="007A2576" w:rsidP="0048575B">
      <w:pPr>
        <w:pStyle w:val="Brezrazmikov"/>
        <w:jc w:val="both"/>
      </w:pPr>
    </w:p>
    <w:p w14:paraId="25C94E73" w14:textId="77777777" w:rsidR="006335D0" w:rsidRDefault="007A2576" w:rsidP="007A2576">
      <w:pPr>
        <w:pStyle w:val="Brezrazmikov"/>
        <w:jc w:val="center"/>
      </w:pPr>
      <w:r>
        <w:t xml:space="preserve">VII. POGOJI ZA VAROVANJE OKOLJA IN DRUGI POGOJI ZA </w:t>
      </w:r>
    </w:p>
    <w:p w14:paraId="36D3488D" w14:textId="77777777" w:rsidR="007A2576" w:rsidRDefault="007A2576" w:rsidP="006335D0">
      <w:pPr>
        <w:pStyle w:val="Brezrazmikov"/>
        <w:jc w:val="center"/>
      </w:pPr>
      <w:r>
        <w:t>IZVEDBO ZAZIDALNEGA NAČRTA</w:t>
      </w:r>
    </w:p>
    <w:p w14:paraId="62931A98" w14:textId="77777777" w:rsidR="007A2576" w:rsidRDefault="007A2576" w:rsidP="007A2576">
      <w:pPr>
        <w:pStyle w:val="Brezrazmikov"/>
        <w:jc w:val="center"/>
      </w:pPr>
    </w:p>
    <w:p w14:paraId="40701D19" w14:textId="77777777" w:rsidR="007A2576" w:rsidRDefault="007A2576" w:rsidP="007A2576">
      <w:pPr>
        <w:pStyle w:val="Brezrazmikov"/>
        <w:jc w:val="center"/>
      </w:pPr>
      <w:r>
        <w:t>17. člen</w:t>
      </w:r>
    </w:p>
    <w:p w14:paraId="281926CB" w14:textId="77777777" w:rsidR="007A2576" w:rsidRDefault="007A2576" w:rsidP="0048575B">
      <w:pPr>
        <w:pStyle w:val="Brezrazmikov"/>
        <w:jc w:val="both"/>
      </w:pPr>
    </w:p>
    <w:p w14:paraId="67F203FF" w14:textId="77777777" w:rsidR="007A2576" w:rsidRDefault="007A2576" w:rsidP="0048575B">
      <w:pPr>
        <w:pStyle w:val="Brezrazmikov"/>
        <w:jc w:val="both"/>
      </w:pPr>
      <w:r>
        <w:t>Požarna varnost</w:t>
      </w:r>
    </w:p>
    <w:p w14:paraId="4A904E10" w14:textId="77777777" w:rsidR="007A2576" w:rsidRDefault="007A2576" w:rsidP="0048575B">
      <w:pPr>
        <w:pStyle w:val="Brezrazmikov"/>
        <w:jc w:val="both"/>
      </w:pPr>
      <w:r>
        <w:t>Za zagotavljanje varnosti pred požarom se mora zgraditi ustrezno hidrantno omrežje. V območju urejanja je predvideno 9 nadzemnih hidrantov.do vseh objektov je možen dostop po obstoječi cesti. Reševanje ljudi in premoženja omogočajo okoliške proste površine.</w:t>
      </w:r>
    </w:p>
    <w:p w14:paraId="1D0FA264" w14:textId="77777777" w:rsidR="007A2576" w:rsidRDefault="007A2576" w:rsidP="0048575B">
      <w:pPr>
        <w:pStyle w:val="Brezrazmikov"/>
        <w:jc w:val="both"/>
      </w:pPr>
    </w:p>
    <w:p w14:paraId="7BD5A35A" w14:textId="77777777" w:rsidR="007A2576" w:rsidRDefault="007A2576" w:rsidP="006335D0">
      <w:pPr>
        <w:pStyle w:val="Brezrazmikov"/>
        <w:jc w:val="center"/>
      </w:pPr>
      <w:r>
        <w:t>18. člen</w:t>
      </w:r>
    </w:p>
    <w:p w14:paraId="4DE8A968" w14:textId="77777777" w:rsidR="007A2576" w:rsidRDefault="007A2576" w:rsidP="0048575B">
      <w:pPr>
        <w:pStyle w:val="Brezrazmikov"/>
        <w:jc w:val="both"/>
      </w:pPr>
    </w:p>
    <w:p w14:paraId="71B7E268" w14:textId="77777777" w:rsidR="007A2576" w:rsidRDefault="007A2576" w:rsidP="0048575B">
      <w:pPr>
        <w:pStyle w:val="Brezrazmikov"/>
        <w:jc w:val="both"/>
      </w:pPr>
      <w:r>
        <w:t>Varstvo voda</w:t>
      </w:r>
    </w:p>
    <w:p w14:paraId="367591A3" w14:textId="77777777" w:rsidR="007A2576" w:rsidRDefault="007A2576" w:rsidP="0048575B">
      <w:pPr>
        <w:pStyle w:val="Brezrazmikov"/>
        <w:jc w:val="both"/>
      </w:pPr>
      <w:r>
        <w:t xml:space="preserve">Vse površinske vode, ki pritekajo na območje urejanja in ga prečkajo je potrebno urediti tako, da bodo vsi stanovanjski in drugi objekti varni pred 100-letnimi poplavnimi vodami. Tako zbrane vode je potrebno speljati do naravnega recipienta, ki je sposoben te vode sprejeti brez škode za </w:t>
      </w:r>
      <w:proofErr w:type="spellStart"/>
      <w:r>
        <w:t>dolvodne</w:t>
      </w:r>
      <w:proofErr w:type="spellEnd"/>
      <w:r>
        <w:t xml:space="preserve"> obrežne lastnike ali v ustrezne ponikovalnice.</w:t>
      </w:r>
    </w:p>
    <w:p w14:paraId="5760FCBF" w14:textId="77777777" w:rsidR="007A2576" w:rsidRDefault="007A2576" w:rsidP="0048575B">
      <w:pPr>
        <w:pStyle w:val="Brezrazmikov"/>
        <w:jc w:val="both"/>
      </w:pPr>
      <w:r>
        <w:t>Vsi objekti morajo biti priključeni na javno kanalizacijo za odpadno vodo.</w:t>
      </w:r>
    </w:p>
    <w:p w14:paraId="3ECCFFC2" w14:textId="77777777" w:rsidR="007A2576" w:rsidRDefault="007A2576" w:rsidP="0048575B">
      <w:pPr>
        <w:pStyle w:val="Brezrazmikov"/>
        <w:jc w:val="both"/>
      </w:pPr>
      <w:r>
        <w:t>Na območju varstvenih pasov mora biti kanalizacija grajena vodotesno.</w:t>
      </w:r>
    </w:p>
    <w:p w14:paraId="597C7D2F" w14:textId="77777777" w:rsidR="007A2576" w:rsidRDefault="007A2576" w:rsidP="0048575B">
      <w:pPr>
        <w:pStyle w:val="Brezrazmikov"/>
        <w:jc w:val="both"/>
      </w:pPr>
      <w:r>
        <w:t>Vse meteorne vode iz utrjenih površin, kjer se odvija motorni promet, morajo biti speljane</w:t>
      </w:r>
      <w:r w:rsidR="006335D0">
        <w:t xml:space="preserve"> preko </w:t>
      </w:r>
      <w:proofErr w:type="spellStart"/>
      <w:r w:rsidR="006335D0">
        <w:t>maščobnikov</w:t>
      </w:r>
      <w:proofErr w:type="spellEnd"/>
      <w:r w:rsidR="006335D0">
        <w:t xml:space="preserve"> v meteorno kanalizacijo ali ponikovalnico.</w:t>
      </w:r>
    </w:p>
    <w:p w14:paraId="17DB4766" w14:textId="77777777" w:rsidR="006335D0" w:rsidRDefault="006335D0" w:rsidP="0048575B">
      <w:pPr>
        <w:pStyle w:val="Brezrazmikov"/>
        <w:jc w:val="both"/>
      </w:pPr>
      <w:r>
        <w:t>Meteorne vode z zelenih ali gozdnih površin in s streh morajo biti speljane v ponikovalnice oziroma v naravne sprejemnike.</w:t>
      </w:r>
    </w:p>
    <w:p w14:paraId="524EC6EE" w14:textId="77777777" w:rsidR="006335D0" w:rsidRDefault="006335D0" w:rsidP="0048575B">
      <w:pPr>
        <w:pStyle w:val="Brezrazmikov"/>
        <w:jc w:val="both"/>
      </w:pPr>
      <w:r>
        <w:t xml:space="preserve">Uporabniki prostora, ki na svojem zemljišču izvajajo manipulacijo oziroma skladiščijo nevarne snovi (goriva, olja, kemikalije) lahko to opravijo le v pokritih prostorih. Manipulacijske površine morajo biti urejene tako, da se ob </w:t>
      </w:r>
      <w:proofErr w:type="spellStart"/>
      <w:r>
        <w:t>eventuelnem</w:t>
      </w:r>
      <w:proofErr w:type="spellEnd"/>
      <w:r>
        <w:t xml:space="preserve"> razlitju snovi ta v celoti prestreže.</w:t>
      </w:r>
    </w:p>
    <w:p w14:paraId="33327F1D" w14:textId="77777777" w:rsidR="006335D0" w:rsidRDefault="006335D0" w:rsidP="0048575B">
      <w:pPr>
        <w:pStyle w:val="Brezrazmikov"/>
        <w:jc w:val="both"/>
      </w:pPr>
      <w:r>
        <w:lastRenderedPageBreak/>
        <w:t>Odlaganje trdih odpadkov mora biti organizirano z zabojniki in odvozom na javno odlagališče.</w:t>
      </w:r>
    </w:p>
    <w:p w14:paraId="33434F88" w14:textId="77777777" w:rsidR="006335D0" w:rsidRDefault="006335D0" w:rsidP="0048575B">
      <w:pPr>
        <w:pStyle w:val="Brezrazmikov"/>
        <w:jc w:val="both"/>
      </w:pPr>
    </w:p>
    <w:p w14:paraId="384EDFA3" w14:textId="77777777" w:rsidR="006335D0" w:rsidRDefault="006335D0" w:rsidP="006335D0">
      <w:pPr>
        <w:pStyle w:val="Brezrazmikov"/>
        <w:jc w:val="center"/>
      </w:pPr>
      <w:r>
        <w:t>19. člen</w:t>
      </w:r>
    </w:p>
    <w:p w14:paraId="44E631C7" w14:textId="77777777" w:rsidR="006335D0" w:rsidRDefault="006335D0" w:rsidP="0048575B">
      <w:pPr>
        <w:pStyle w:val="Brezrazmikov"/>
        <w:jc w:val="both"/>
      </w:pPr>
    </w:p>
    <w:p w14:paraId="4E1076A9" w14:textId="77777777" w:rsidR="006335D0" w:rsidRDefault="006335D0" w:rsidP="0048575B">
      <w:pPr>
        <w:pStyle w:val="Brezrazmikov"/>
        <w:jc w:val="both"/>
      </w:pPr>
      <w:r>
        <w:t>Varstvo naravne in kulturne dediščine</w:t>
      </w:r>
    </w:p>
    <w:p w14:paraId="68A5034A" w14:textId="77777777" w:rsidR="006335D0" w:rsidRDefault="006335D0" w:rsidP="0048575B">
      <w:pPr>
        <w:pStyle w:val="Brezrazmikov"/>
        <w:jc w:val="both"/>
      </w:pPr>
      <w:r>
        <w:t>Na obravnavanem območju je potrebno v celoti ohraniti kamnite oporne zidove nekdanje glavne cestne povezave ter kamnite miljnike.</w:t>
      </w:r>
    </w:p>
    <w:p w14:paraId="1D7C1C2E" w14:textId="77777777" w:rsidR="006335D0" w:rsidRDefault="006335D0" w:rsidP="0048575B">
      <w:pPr>
        <w:pStyle w:val="Brezrazmikov"/>
        <w:jc w:val="both"/>
      </w:pPr>
      <w:r>
        <w:t>Vsi večji posegi v zemeljske plasti morajo potekati pod arheološkim nadzorom.</w:t>
      </w:r>
    </w:p>
    <w:p w14:paraId="3D51D293" w14:textId="77777777" w:rsidR="006335D0" w:rsidRDefault="006335D0" w:rsidP="0048575B">
      <w:pPr>
        <w:pStyle w:val="Brezrazmikov"/>
        <w:jc w:val="both"/>
      </w:pPr>
    </w:p>
    <w:p w14:paraId="07081E48" w14:textId="77777777" w:rsidR="006335D0" w:rsidRDefault="006335D0" w:rsidP="0048575B">
      <w:pPr>
        <w:pStyle w:val="Brezrazmikov"/>
        <w:jc w:val="both"/>
      </w:pPr>
    </w:p>
    <w:p w14:paraId="5D7E7191" w14:textId="77777777" w:rsidR="006335D0" w:rsidRDefault="006335D0" w:rsidP="006335D0">
      <w:pPr>
        <w:pStyle w:val="Brezrazmikov"/>
        <w:jc w:val="center"/>
      </w:pPr>
      <w:r>
        <w:t xml:space="preserve">VIII. ETAPNOST IZVAJANJA ZAZIDALNEGA NAČRTA IN </w:t>
      </w:r>
    </w:p>
    <w:p w14:paraId="56D7B778" w14:textId="77777777" w:rsidR="006335D0" w:rsidRDefault="006335D0" w:rsidP="006335D0">
      <w:pPr>
        <w:pStyle w:val="Brezrazmikov"/>
        <w:jc w:val="center"/>
      </w:pPr>
      <w:r>
        <w:t>ZAČASNA NAMEMBNOST ZEMLJIŠČ</w:t>
      </w:r>
    </w:p>
    <w:p w14:paraId="2CA650BC" w14:textId="77777777" w:rsidR="006335D0" w:rsidRDefault="006335D0" w:rsidP="006335D0">
      <w:pPr>
        <w:pStyle w:val="Brezrazmikov"/>
        <w:jc w:val="center"/>
      </w:pPr>
    </w:p>
    <w:p w14:paraId="0374037C" w14:textId="77777777" w:rsidR="006335D0" w:rsidRDefault="006335D0" w:rsidP="006335D0">
      <w:pPr>
        <w:pStyle w:val="Brezrazmikov"/>
        <w:jc w:val="center"/>
      </w:pPr>
      <w:r>
        <w:t>20. člen</w:t>
      </w:r>
    </w:p>
    <w:p w14:paraId="14B64E97" w14:textId="77777777" w:rsidR="006335D0" w:rsidRDefault="006335D0" w:rsidP="0048575B">
      <w:pPr>
        <w:pStyle w:val="Brezrazmikov"/>
        <w:jc w:val="both"/>
      </w:pPr>
    </w:p>
    <w:p w14:paraId="30F1C695" w14:textId="77777777" w:rsidR="006335D0" w:rsidRDefault="006335D0" w:rsidP="0048575B">
      <w:pPr>
        <w:pStyle w:val="Brezrazmikov"/>
        <w:jc w:val="both"/>
      </w:pPr>
      <w:r>
        <w:t>Gradnjo objektov bodo investitorji izvajali v različnih časovnih etapah.</w:t>
      </w:r>
    </w:p>
    <w:p w14:paraId="465BFFCB" w14:textId="77777777" w:rsidR="006335D0" w:rsidRDefault="006335D0" w:rsidP="0048575B">
      <w:pPr>
        <w:pStyle w:val="Brezrazmikov"/>
        <w:jc w:val="both"/>
      </w:pPr>
      <w:r>
        <w:t>V smiselno zaključenih etapah je potrebno realizirati tui cestno, komunalno in energetsko omrežje.</w:t>
      </w:r>
    </w:p>
    <w:p w14:paraId="5270FB64" w14:textId="77777777" w:rsidR="006335D0" w:rsidRDefault="006335D0" w:rsidP="0048575B">
      <w:pPr>
        <w:pStyle w:val="Brezrazmikov"/>
        <w:jc w:val="both"/>
      </w:pPr>
      <w:r>
        <w:t>V prvi etapi se uporablja obstoječa cestna povezava.</w:t>
      </w:r>
    </w:p>
    <w:p w14:paraId="536913B4" w14:textId="77777777" w:rsidR="006335D0" w:rsidRDefault="006335D0" w:rsidP="0048575B">
      <w:pPr>
        <w:pStyle w:val="Brezrazmikov"/>
        <w:jc w:val="both"/>
      </w:pPr>
      <w:r>
        <w:t>Zemljišča, ki se ne realizirajo v zaključeni etapi obdržijo dosedanjo namembnost in način gospodarjenja.</w:t>
      </w:r>
    </w:p>
    <w:p w14:paraId="0125BB35" w14:textId="77777777" w:rsidR="006335D0" w:rsidRDefault="006335D0" w:rsidP="0048575B">
      <w:pPr>
        <w:pStyle w:val="Brezrazmikov"/>
        <w:jc w:val="both"/>
      </w:pPr>
    </w:p>
    <w:p w14:paraId="1F8B996D" w14:textId="77777777" w:rsidR="006335D0" w:rsidRDefault="006335D0" w:rsidP="0048575B">
      <w:pPr>
        <w:pStyle w:val="Brezrazmikov"/>
        <w:jc w:val="both"/>
      </w:pPr>
    </w:p>
    <w:p w14:paraId="4989B4C7" w14:textId="77777777" w:rsidR="006335D0" w:rsidRDefault="006335D0" w:rsidP="006335D0">
      <w:pPr>
        <w:pStyle w:val="Brezrazmikov"/>
        <w:jc w:val="center"/>
      </w:pPr>
      <w:r>
        <w:t xml:space="preserve">IX. OBVEZNOST INVESTITORJEV IN IZVAJALCEV PRI IZVAJANJU </w:t>
      </w:r>
    </w:p>
    <w:p w14:paraId="42E914E4" w14:textId="77777777" w:rsidR="006335D0" w:rsidRDefault="006335D0" w:rsidP="006335D0">
      <w:pPr>
        <w:pStyle w:val="Brezrazmikov"/>
        <w:jc w:val="center"/>
      </w:pPr>
      <w:r>
        <w:t>ZAZIDALNEGA NAČRTA</w:t>
      </w:r>
    </w:p>
    <w:p w14:paraId="02D341DA" w14:textId="77777777" w:rsidR="006335D0" w:rsidRDefault="006335D0" w:rsidP="006335D0">
      <w:pPr>
        <w:pStyle w:val="Brezrazmikov"/>
        <w:jc w:val="center"/>
      </w:pPr>
    </w:p>
    <w:p w14:paraId="7D92058F" w14:textId="77777777" w:rsidR="006335D0" w:rsidRDefault="006335D0" w:rsidP="006335D0">
      <w:pPr>
        <w:pStyle w:val="Brezrazmikov"/>
        <w:jc w:val="center"/>
      </w:pPr>
      <w:r>
        <w:t>21. člen</w:t>
      </w:r>
    </w:p>
    <w:p w14:paraId="65EC3616" w14:textId="77777777" w:rsidR="006335D0" w:rsidRDefault="006335D0" w:rsidP="0048575B">
      <w:pPr>
        <w:pStyle w:val="Brezrazmikov"/>
        <w:jc w:val="both"/>
      </w:pPr>
    </w:p>
    <w:p w14:paraId="31E3D391" w14:textId="77777777" w:rsidR="006335D0" w:rsidRDefault="006335D0" w:rsidP="0048575B">
      <w:pPr>
        <w:pStyle w:val="Brezrazmikov"/>
        <w:jc w:val="both"/>
      </w:pPr>
      <w:r>
        <w:t>Investitorji in izvajalci so dolžni:</w:t>
      </w:r>
    </w:p>
    <w:p w14:paraId="0C3838E5" w14:textId="77777777" w:rsidR="006335D0" w:rsidRDefault="003D5619" w:rsidP="003D5619">
      <w:pPr>
        <w:pStyle w:val="Brezrazmikov"/>
        <w:numPr>
          <w:ilvl w:val="0"/>
          <w:numId w:val="8"/>
        </w:numPr>
        <w:ind w:left="567"/>
        <w:jc w:val="both"/>
      </w:pPr>
      <w:r>
        <w:t>p</w:t>
      </w:r>
      <w:r w:rsidR="006335D0">
        <w:t>redvideti in izvesti vse ukrepe za varovanje okolja,</w:t>
      </w:r>
    </w:p>
    <w:p w14:paraId="63EB6D26" w14:textId="77777777" w:rsidR="006335D0" w:rsidRDefault="003D5619" w:rsidP="003D5619">
      <w:pPr>
        <w:pStyle w:val="Brezrazmikov"/>
        <w:numPr>
          <w:ilvl w:val="0"/>
          <w:numId w:val="8"/>
        </w:numPr>
        <w:ind w:left="567"/>
        <w:jc w:val="both"/>
      </w:pPr>
      <w:r>
        <w:t>i</w:t>
      </w:r>
      <w:r w:rsidR="006335D0">
        <w:t>zvesti vse ukrepe protipožarne zaščite,</w:t>
      </w:r>
    </w:p>
    <w:p w14:paraId="59C74157" w14:textId="77777777" w:rsidR="006335D0" w:rsidRDefault="003D5619" w:rsidP="003D5619">
      <w:pPr>
        <w:pStyle w:val="Brezrazmikov"/>
        <w:numPr>
          <w:ilvl w:val="0"/>
          <w:numId w:val="8"/>
        </w:numPr>
        <w:ind w:left="567"/>
        <w:jc w:val="both"/>
      </w:pPr>
      <w:r>
        <w:t>i</w:t>
      </w:r>
      <w:r w:rsidR="006335D0">
        <w:t>zvesti infrastrukturno omrežje in priključke v smiselno zaključenih etapah oziroma sočasno z gradnjo objektov,</w:t>
      </w:r>
    </w:p>
    <w:p w14:paraId="4C228E15" w14:textId="77777777" w:rsidR="006335D0" w:rsidRDefault="003D5619" w:rsidP="003D5619">
      <w:pPr>
        <w:pStyle w:val="Brezrazmikov"/>
        <w:numPr>
          <w:ilvl w:val="0"/>
          <w:numId w:val="8"/>
        </w:numPr>
        <w:ind w:left="567"/>
        <w:jc w:val="both"/>
      </w:pPr>
      <w:r>
        <w:t>u</w:t>
      </w:r>
      <w:r w:rsidR="006335D0">
        <w:t>rediti okolico in skupne zelene površine.</w:t>
      </w:r>
    </w:p>
    <w:p w14:paraId="64B18F8C" w14:textId="77777777" w:rsidR="006335D0" w:rsidRDefault="006335D0" w:rsidP="0048575B">
      <w:pPr>
        <w:pStyle w:val="Brezrazmikov"/>
        <w:jc w:val="both"/>
      </w:pPr>
      <w:r>
        <w:t>Investitorji morajo najkasneje v ene letu po pridobitvi lokacijskega in gradbenega dovoljenja pridobiti lokacijsko in gradbeno dovoljenja za izvedbo</w:t>
      </w:r>
      <w:r w:rsidR="003D5619">
        <w:t xml:space="preserve"> vodov komunalne infrastrukture kot navezave na vode, ki potekajo izven območja zazidalnega načrta oziroma za izvedbo kanalizacijskega omrežja z malo čistilno napravo.</w:t>
      </w:r>
    </w:p>
    <w:p w14:paraId="0ADCD87C" w14:textId="77777777" w:rsidR="003D5619" w:rsidRDefault="003D5619" w:rsidP="0048575B">
      <w:pPr>
        <w:pStyle w:val="Brezrazmikov"/>
        <w:jc w:val="both"/>
      </w:pPr>
    </w:p>
    <w:p w14:paraId="5569D2BB" w14:textId="77777777" w:rsidR="003D5619" w:rsidRDefault="003D5619" w:rsidP="0048575B">
      <w:pPr>
        <w:pStyle w:val="Brezrazmikov"/>
        <w:jc w:val="both"/>
      </w:pPr>
    </w:p>
    <w:p w14:paraId="57C626ED" w14:textId="77777777" w:rsidR="003D5619" w:rsidRPr="003D5619" w:rsidRDefault="003D5619" w:rsidP="003D5619">
      <w:pPr>
        <w:pStyle w:val="Brezrazmikov"/>
        <w:jc w:val="both"/>
        <w:rPr>
          <w:b/>
        </w:rPr>
      </w:pPr>
      <w:r w:rsidRPr="003D5619">
        <w:rPr>
          <w:b/>
        </w:rPr>
        <w:t>Odlok o zazidalnem načrtu za del območja urejanja V2S/2 Gabrče (Ur. l. RS, št. 60/1999)</w:t>
      </w:r>
      <w:r>
        <w:rPr>
          <w:b/>
        </w:rPr>
        <w:t xml:space="preserve"> vsebuje naslednje končne določbe:</w:t>
      </w:r>
    </w:p>
    <w:p w14:paraId="67D02784" w14:textId="77777777" w:rsidR="003D5619" w:rsidRDefault="003D5619" w:rsidP="0048575B">
      <w:pPr>
        <w:pStyle w:val="Brezrazmikov"/>
        <w:jc w:val="both"/>
      </w:pPr>
    </w:p>
    <w:p w14:paraId="3788CF7E" w14:textId="77777777" w:rsidR="003D5619" w:rsidRDefault="003D5619" w:rsidP="003D5619">
      <w:pPr>
        <w:pStyle w:val="Brezrazmikov"/>
        <w:jc w:val="center"/>
      </w:pPr>
      <w:r>
        <w:t>X. KONČNE DOLOČBE</w:t>
      </w:r>
    </w:p>
    <w:p w14:paraId="168CD4C4" w14:textId="77777777" w:rsidR="003D5619" w:rsidRDefault="003D5619" w:rsidP="003D5619">
      <w:pPr>
        <w:pStyle w:val="Brezrazmikov"/>
        <w:jc w:val="center"/>
      </w:pPr>
    </w:p>
    <w:p w14:paraId="33CB1B53" w14:textId="77777777" w:rsidR="003D5619" w:rsidRDefault="003D5619" w:rsidP="003D5619">
      <w:pPr>
        <w:pStyle w:val="Brezrazmikov"/>
        <w:jc w:val="center"/>
      </w:pPr>
      <w:r>
        <w:t>22. člen</w:t>
      </w:r>
    </w:p>
    <w:p w14:paraId="11E41ADE" w14:textId="77777777" w:rsidR="003D5619" w:rsidRDefault="003D5619" w:rsidP="0048575B">
      <w:pPr>
        <w:pStyle w:val="Brezrazmikov"/>
        <w:jc w:val="both"/>
      </w:pPr>
    </w:p>
    <w:p w14:paraId="76E776B6" w14:textId="77777777" w:rsidR="003D5619" w:rsidRDefault="003D5619" w:rsidP="0048575B">
      <w:pPr>
        <w:pStyle w:val="Brezrazmikov"/>
        <w:jc w:val="both"/>
      </w:pPr>
      <w:r>
        <w:t>Zazidalni načrt je stalno na vpogled pri občinskem upravnem organu, pristojnem za urejanje prostora in na sedežu krajevne skupnosti.</w:t>
      </w:r>
    </w:p>
    <w:p w14:paraId="28C20992" w14:textId="77777777" w:rsidR="003D5619" w:rsidRDefault="003D5619" w:rsidP="0048575B">
      <w:pPr>
        <w:pStyle w:val="Brezrazmikov"/>
        <w:jc w:val="both"/>
      </w:pPr>
    </w:p>
    <w:p w14:paraId="36F5FDC8" w14:textId="77777777" w:rsidR="003D5619" w:rsidRDefault="003D5619" w:rsidP="003D5619">
      <w:pPr>
        <w:pStyle w:val="Brezrazmikov"/>
        <w:jc w:val="center"/>
      </w:pPr>
      <w:r>
        <w:t>23. člen</w:t>
      </w:r>
    </w:p>
    <w:p w14:paraId="1615B009" w14:textId="77777777" w:rsidR="003D5619" w:rsidRDefault="003D5619" w:rsidP="0048575B">
      <w:pPr>
        <w:pStyle w:val="Brezrazmikov"/>
        <w:jc w:val="both"/>
      </w:pPr>
    </w:p>
    <w:p w14:paraId="590EFC98" w14:textId="77777777" w:rsidR="003D5619" w:rsidRDefault="003D5619" w:rsidP="0048575B">
      <w:pPr>
        <w:pStyle w:val="Brezrazmikov"/>
        <w:jc w:val="both"/>
      </w:pPr>
      <w:r>
        <w:t>Nadzorstvo nad izvajanjem tega odloka opravljajo pristojen inšpekcijske službe.</w:t>
      </w:r>
    </w:p>
    <w:p w14:paraId="2EFD3D52" w14:textId="77777777" w:rsidR="003D5619" w:rsidRDefault="003D5619" w:rsidP="0048575B">
      <w:pPr>
        <w:pStyle w:val="Brezrazmikov"/>
        <w:jc w:val="both"/>
      </w:pPr>
    </w:p>
    <w:p w14:paraId="44262E0F" w14:textId="77777777" w:rsidR="003D5619" w:rsidRDefault="003D5619" w:rsidP="003D5619">
      <w:pPr>
        <w:pStyle w:val="Brezrazmikov"/>
        <w:jc w:val="center"/>
      </w:pPr>
      <w:r>
        <w:t>24. člen</w:t>
      </w:r>
    </w:p>
    <w:p w14:paraId="07C1C2EE" w14:textId="77777777" w:rsidR="003D5619" w:rsidRDefault="003D5619" w:rsidP="0048575B">
      <w:pPr>
        <w:pStyle w:val="Brezrazmikov"/>
        <w:jc w:val="both"/>
      </w:pPr>
    </w:p>
    <w:p w14:paraId="2F5FD0E5" w14:textId="77777777" w:rsidR="003D5619" w:rsidRDefault="003D5619" w:rsidP="0048575B">
      <w:pPr>
        <w:pStyle w:val="Brezrazmikov"/>
        <w:jc w:val="both"/>
      </w:pPr>
      <w:r>
        <w:t>Ta odlok začne veljati z dnem objave v Uradnem listu RS.</w:t>
      </w:r>
    </w:p>
    <w:p w14:paraId="09DDB005" w14:textId="77777777" w:rsidR="003D5619" w:rsidRDefault="003D5619" w:rsidP="0048575B">
      <w:pPr>
        <w:pStyle w:val="Brezrazmikov"/>
        <w:jc w:val="both"/>
      </w:pPr>
    </w:p>
    <w:p w14:paraId="18B66697" w14:textId="77777777" w:rsidR="003D5619" w:rsidRDefault="003D5619" w:rsidP="0048575B">
      <w:pPr>
        <w:pStyle w:val="Brezrazmikov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5619" w14:paraId="3B3E8CFD" w14:textId="77777777" w:rsidTr="003D5619">
        <w:tc>
          <w:tcPr>
            <w:tcW w:w="4531" w:type="dxa"/>
          </w:tcPr>
          <w:p w14:paraId="288A803B" w14:textId="77777777" w:rsidR="003D5619" w:rsidRDefault="003D5619" w:rsidP="0048575B">
            <w:pPr>
              <w:pStyle w:val="Brezrazmikov"/>
              <w:jc w:val="both"/>
            </w:pPr>
            <w:r>
              <w:t>Št. 14/1-352-052/97</w:t>
            </w:r>
          </w:p>
        </w:tc>
        <w:tc>
          <w:tcPr>
            <w:tcW w:w="4531" w:type="dxa"/>
          </w:tcPr>
          <w:p w14:paraId="646614F3" w14:textId="77777777" w:rsidR="003D5619" w:rsidRDefault="003D5619" w:rsidP="003D5619">
            <w:pPr>
              <w:pStyle w:val="Brezrazmikov"/>
              <w:jc w:val="center"/>
            </w:pPr>
            <w:r>
              <w:t>Župan</w:t>
            </w:r>
          </w:p>
        </w:tc>
      </w:tr>
      <w:tr w:rsidR="003D5619" w14:paraId="47D7B15E" w14:textId="77777777" w:rsidTr="003D5619">
        <w:tc>
          <w:tcPr>
            <w:tcW w:w="4531" w:type="dxa"/>
          </w:tcPr>
          <w:p w14:paraId="69B39029" w14:textId="77777777" w:rsidR="003D5619" w:rsidRDefault="003D5619" w:rsidP="0048575B">
            <w:pPr>
              <w:pStyle w:val="Brezrazmikov"/>
              <w:jc w:val="both"/>
            </w:pPr>
            <w:r>
              <w:t>Vrhnika, dne 7. julija 1999.</w:t>
            </w:r>
          </w:p>
        </w:tc>
        <w:tc>
          <w:tcPr>
            <w:tcW w:w="4531" w:type="dxa"/>
          </w:tcPr>
          <w:p w14:paraId="28AE7553" w14:textId="77777777" w:rsidR="003D5619" w:rsidRDefault="003D5619" w:rsidP="003D5619">
            <w:pPr>
              <w:pStyle w:val="Brezrazmikov"/>
              <w:jc w:val="center"/>
            </w:pPr>
            <w:r>
              <w:t>Občine Vrhnika</w:t>
            </w:r>
          </w:p>
        </w:tc>
      </w:tr>
      <w:tr w:rsidR="003D5619" w14:paraId="23617D38" w14:textId="77777777" w:rsidTr="003D5619">
        <w:tc>
          <w:tcPr>
            <w:tcW w:w="4531" w:type="dxa"/>
          </w:tcPr>
          <w:p w14:paraId="38BC302D" w14:textId="77777777" w:rsidR="003D5619" w:rsidRDefault="003D5619" w:rsidP="0048575B">
            <w:pPr>
              <w:pStyle w:val="Brezrazmikov"/>
              <w:jc w:val="both"/>
            </w:pPr>
          </w:p>
        </w:tc>
        <w:tc>
          <w:tcPr>
            <w:tcW w:w="4531" w:type="dxa"/>
          </w:tcPr>
          <w:p w14:paraId="2690FDB3" w14:textId="77777777" w:rsidR="003D5619" w:rsidRDefault="003D5619" w:rsidP="003D5619">
            <w:pPr>
              <w:pStyle w:val="Brezrazmikov"/>
              <w:jc w:val="center"/>
            </w:pPr>
            <w:r>
              <w:t xml:space="preserve">Vinko Tomšič </w:t>
            </w:r>
            <w:proofErr w:type="spellStart"/>
            <w:r>
              <w:t>l.r</w:t>
            </w:r>
            <w:proofErr w:type="spellEnd"/>
            <w:r>
              <w:t>.</w:t>
            </w:r>
          </w:p>
        </w:tc>
      </w:tr>
    </w:tbl>
    <w:p w14:paraId="6E0D81DE" w14:textId="77777777" w:rsidR="003D5619" w:rsidRDefault="003D5619" w:rsidP="0048575B">
      <w:pPr>
        <w:pStyle w:val="Brezrazmikov"/>
        <w:jc w:val="both"/>
      </w:pPr>
    </w:p>
    <w:p w14:paraId="173C0827" w14:textId="77777777" w:rsidR="00C339A2" w:rsidRDefault="00C339A2" w:rsidP="0048575B">
      <w:pPr>
        <w:pStyle w:val="Brezrazmikov"/>
        <w:jc w:val="both"/>
      </w:pPr>
    </w:p>
    <w:p w14:paraId="75118639" w14:textId="77777777" w:rsidR="00C339A2" w:rsidRPr="002C13F8" w:rsidRDefault="00C339A2" w:rsidP="00C339A2">
      <w:pPr>
        <w:pStyle w:val="Brezrazmikov"/>
        <w:jc w:val="both"/>
        <w:rPr>
          <w:b/>
        </w:rPr>
      </w:pPr>
      <w:r w:rsidRPr="002C13F8">
        <w:rPr>
          <w:b/>
        </w:rPr>
        <w:t>Odlok o spremembah in dopolnitvah Odloka o zazidalnem načrtu za del območja urejanja V2S/2 Gabrče (Naš časopis, št. 335/2007) vsebuje naslednje končne določbe:</w:t>
      </w:r>
    </w:p>
    <w:p w14:paraId="3C57328A" w14:textId="77777777" w:rsidR="00C339A2" w:rsidRPr="002C13F8" w:rsidRDefault="00C339A2" w:rsidP="0048575B">
      <w:pPr>
        <w:pStyle w:val="Brezrazmikov"/>
        <w:jc w:val="both"/>
      </w:pPr>
    </w:p>
    <w:p w14:paraId="783ABF75" w14:textId="77777777" w:rsidR="00C339A2" w:rsidRPr="002C13F8" w:rsidRDefault="00C339A2" w:rsidP="00C339A2">
      <w:pPr>
        <w:pStyle w:val="Brezrazmikov"/>
        <w:jc w:val="center"/>
      </w:pPr>
      <w:r w:rsidRPr="002C13F8">
        <w:t>4. člen</w:t>
      </w:r>
    </w:p>
    <w:p w14:paraId="00CFD7DB" w14:textId="77777777" w:rsidR="00C339A2" w:rsidRPr="002C13F8" w:rsidRDefault="00C339A2" w:rsidP="0048575B">
      <w:pPr>
        <w:pStyle w:val="Brezrazmikov"/>
        <w:jc w:val="both"/>
      </w:pPr>
    </w:p>
    <w:p w14:paraId="409892D9" w14:textId="77777777" w:rsidR="00C339A2" w:rsidRPr="002C13F8" w:rsidRDefault="00C339A2" w:rsidP="0048575B">
      <w:pPr>
        <w:pStyle w:val="Brezrazmikov"/>
        <w:jc w:val="both"/>
      </w:pPr>
      <w:r w:rsidRPr="002C13F8">
        <w:t>Spremembe in dopolnitve odloka so stalno na vpogled na občinskem oddelku, pristojnem za urejanje prostora.</w:t>
      </w:r>
    </w:p>
    <w:p w14:paraId="384661B4" w14:textId="77777777" w:rsidR="00C339A2" w:rsidRPr="002C13F8" w:rsidRDefault="00C339A2" w:rsidP="0048575B">
      <w:pPr>
        <w:pStyle w:val="Brezrazmikov"/>
        <w:jc w:val="both"/>
      </w:pPr>
    </w:p>
    <w:p w14:paraId="7F1F17A5" w14:textId="77777777" w:rsidR="00C339A2" w:rsidRPr="002C13F8" w:rsidRDefault="00C339A2" w:rsidP="00C339A2">
      <w:pPr>
        <w:pStyle w:val="Brezrazmikov"/>
        <w:jc w:val="center"/>
      </w:pPr>
      <w:r w:rsidRPr="002C13F8">
        <w:t>5. člen</w:t>
      </w:r>
    </w:p>
    <w:p w14:paraId="66DB0C4D" w14:textId="77777777" w:rsidR="00C339A2" w:rsidRPr="002C13F8" w:rsidRDefault="00C339A2" w:rsidP="0048575B">
      <w:pPr>
        <w:pStyle w:val="Brezrazmikov"/>
        <w:jc w:val="both"/>
      </w:pPr>
    </w:p>
    <w:p w14:paraId="7C73CD72" w14:textId="77777777" w:rsidR="00C339A2" w:rsidRPr="002C13F8" w:rsidRDefault="00C339A2" w:rsidP="0048575B">
      <w:pPr>
        <w:pStyle w:val="Brezrazmikov"/>
        <w:jc w:val="both"/>
      </w:pPr>
      <w:r w:rsidRPr="002C13F8">
        <w:t>Nadzorstvo nad izvajanjem tega odloka opravljajo pristojne inšpekcijske službe.</w:t>
      </w:r>
    </w:p>
    <w:p w14:paraId="019D88B3" w14:textId="77777777" w:rsidR="00C339A2" w:rsidRPr="002C13F8" w:rsidRDefault="00C339A2" w:rsidP="0048575B">
      <w:pPr>
        <w:pStyle w:val="Brezrazmikov"/>
        <w:jc w:val="both"/>
      </w:pPr>
    </w:p>
    <w:p w14:paraId="1391FF4A" w14:textId="77777777" w:rsidR="00C339A2" w:rsidRPr="002C13F8" w:rsidRDefault="00C339A2" w:rsidP="00C339A2">
      <w:pPr>
        <w:pStyle w:val="Brezrazmikov"/>
        <w:jc w:val="center"/>
      </w:pPr>
      <w:r w:rsidRPr="002C13F8">
        <w:t>6. člen</w:t>
      </w:r>
    </w:p>
    <w:p w14:paraId="62FB7F91" w14:textId="77777777" w:rsidR="00C339A2" w:rsidRPr="002C13F8" w:rsidRDefault="00C339A2" w:rsidP="0048575B">
      <w:pPr>
        <w:pStyle w:val="Brezrazmikov"/>
        <w:jc w:val="both"/>
      </w:pPr>
    </w:p>
    <w:p w14:paraId="6559C02B" w14:textId="77777777" w:rsidR="00C339A2" w:rsidRPr="002C13F8" w:rsidRDefault="00C339A2" w:rsidP="0048575B">
      <w:pPr>
        <w:pStyle w:val="Brezrazmikov"/>
        <w:jc w:val="both"/>
      </w:pPr>
      <w:r w:rsidRPr="002C13F8">
        <w:t xml:space="preserve">Ta odlok začne veljati naslednji dan po objavi v občinskem glasilu Naš časopis. </w:t>
      </w:r>
    </w:p>
    <w:p w14:paraId="3F2E15BA" w14:textId="77777777" w:rsidR="00C339A2" w:rsidRPr="002C13F8" w:rsidRDefault="00C339A2" w:rsidP="0048575B">
      <w:pPr>
        <w:pStyle w:val="Brezrazmikov"/>
        <w:jc w:val="both"/>
      </w:pPr>
    </w:p>
    <w:p w14:paraId="66044DD2" w14:textId="77777777" w:rsidR="00C339A2" w:rsidRPr="002C13F8" w:rsidRDefault="00C339A2" w:rsidP="0048575B">
      <w:pPr>
        <w:pStyle w:val="Brezrazmikov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13F8" w:rsidRPr="002C13F8" w14:paraId="015B6597" w14:textId="77777777" w:rsidTr="00907D1A">
        <w:tc>
          <w:tcPr>
            <w:tcW w:w="4531" w:type="dxa"/>
          </w:tcPr>
          <w:p w14:paraId="4E2A558B" w14:textId="77777777" w:rsidR="00C339A2" w:rsidRPr="002C13F8" w:rsidRDefault="00C339A2" w:rsidP="00907D1A">
            <w:pPr>
              <w:pStyle w:val="Brezrazmikov"/>
              <w:jc w:val="both"/>
            </w:pPr>
            <w:r w:rsidRPr="002C13F8">
              <w:t>Št.: 3505-24/2006 (5/06)</w:t>
            </w:r>
          </w:p>
        </w:tc>
        <w:tc>
          <w:tcPr>
            <w:tcW w:w="4531" w:type="dxa"/>
          </w:tcPr>
          <w:p w14:paraId="492090AF" w14:textId="77777777" w:rsidR="00C339A2" w:rsidRPr="002C13F8" w:rsidRDefault="00C339A2" w:rsidP="00907D1A">
            <w:pPr>
              <w:pStyle w:val="Brezrazmikov"/>
              <w:jc w:val="center"/>
            </w:pPr>
            <w:r w:rsidRPr="002C13F8">
              <w:t>Župan</w:t>
            </w:r>
          </w:p>
        </w:tc>
      </w:tr>
      <w:tr w:rsidR="002C13F8" w:rsidRPr="002C13F8" w14:paraId="0AA41E0E" w14:textId="77777777" w:rsidTr="00907D1A">
        <w:tc>
          <w:tcPr>
            <w:tcW w:w="4531" w:type="dxa"/>
          </w:tcPr>
          <w:p w14:paraId="2A55076E" w14:textId="77777777" w:rsidR="00C339A2" w:rsidRPr="002C13F8" w:rsidRDefault="00C339A2" w:rsidP="00907D1A">
            <w:pPr>
              <w:pStyle w:val="Brezrazmikov"/>
              <w:jc w:val="both"/>
            </w:pPr>
            <w:r w:rsidRPr="002C13F8">
              <w:t>Vrhnika, dne 2. 2. 2007</w:t>
            </w:r>
          </w:p>
        </w:tc>
        <w:tc>
          <w:tcPr>
            <w:tcW w:w="4531" w:type="dxa"/>
          </w:tcPr>
          <w:p w14:paraId="1B0ADBEF" w14:textId="77777777" w:rsidR="00C339A2" w:rsidRPr="002C13F8" w:rsidRDefault="00C339A2" w:rsidP="00907D1A">
            <w:pPr>
              <w:pStyle w:val="Brezrazmikov"/>
              <w:jc w:val="center"/>
            </w:pPr>
            <w:r w:rsidRPr="002C13F8">
              <w:t>Občine Vrhnika</w:t>
            </w:r>
          </w:p>
        </w:tc>
      </w:tr>
      <w:tr w:rsidR="002C13F8" w:rsidRPr="002C13F8" w14:paraId="5833B93D" w14:textId="77777777" w:rsidTr="00907D1A">
        <w:tc>
          <w:tcPr>
            <w:tcW w:w="4531" w:type="dxa"/>
          </w:tcPr>
          <w:p w14:paraId="5521C016" w14:textId="77777777" w:rsidR="00C339A2" w:rsidRPr="002C13F8" w:rsidRDefault="00C339A2" w:rsidP="00907D1A">
            <w:pPr>
              <w:pStyle w:val="Brezrazmikov"/>
              <w:jc w:val="both"/>
            </w:pPr>
          </w:p>
        </w:tc>
        <w:tc>
          <w:tcPr>
            <w:tcW w:w="4531" w:type="dxa"/>
          </w:tcPr>
          <w:p w14:paraId="0AD2E8A5" w14:textId="77777777" w:rsidR="00C339A2" w:rsidRPr="002C13F8" w:rsidRDefault="00C339A2" w:rsidP="00907D1A">
            <w:pPr>
              <w:pStyle w:val="Brezrazmikov"/>
              <w:jc w:val="center"/>
            </w:pPr>
            <w:r w:rsidRPr="002C13F8">
              <w:t xml:space="preserve">dr. Marjan Rihar </w:t>
            </w:r>
            <w:proofErr w:type="spellStart"/>
            <w:r w:rsidRPr="002C13F8">
              <w:t>l.r</w:t>
            </w:r>
            <w:proofErr w:type="spellEnd"/>
            <w:r w:rsidRPr="002C13F8">
              <w:t>.</w:t>
            </w:r>
          </w:p>
        </w:tc>
      </w:tr>
    </w:tbl>
    <w:p w14:paraId="535634F2" w14:textId="77777777" w:rsidR="00C339A2" w:rsidRPr="00C339A2" w:rsidRDefault="00C339A2" w:rsidP="0048575B">
      <w:pPr>
        <w:pStyle w:val="Brezrazmikov"/>
        <w:jc w:val="both"/>
        <w:rPr>
          <w:color w:val="FF0000"/>
        </w:rPr>
      </w:pPr>
    </w:p>
    <w:sectPr w:rsidR="00C339A2" w:rsidRPr="00C3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904"/>
    <w:multiLevelType w:val="hybridMultilevel"/>
    <w:tmpl w:val="06FC45A2"/>
    <w:lvl w:ilvl="0" w:tplc="8CA2BD86">
      <w:start w:val="4"/>
      <w:numFmt w:val="bullet"/>
      <w:lvlText w:val="-"/>
      <w:lvlJc w:val="left"/>
      <w:pPr>
        <w:ind w:left="720" w:hanging="360"/>
      </w:pPr>
      <w:rPr>
        <w:rFonts w:ascii="Frutiger" w:eastAsia="Times New Roman" w:hAnsi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75B1"/>
    <w:multiLevelType w:val="hybridMultilevel"/>
    <w:tmpl w:val="A0AEE598"/>
    <w:lvl w:ilvl="0" w:tplc="8CA2BD86">
      <w:start w:val="4"/>
      <w:numFmt w:val="bullet"/>
      <w:lvlText w:val="-"/>
      <w:lvlJc w:val="left"/>
      <w:pPr>
        <w:ind w:left="720" w:hanging="360"/>
      </w:pPr>
      <w:rPr>
        <w:rFonts w:ascii="Frutiger" w:eastAsia="Times New Roman" w:hAnsi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165F"/>
    <w:multiLevelType w:val="hybridMultilevel"/>
    <w:tmpl w:val="CB9E24CA"/>
    <w:lvl w:ilvl="0" w:tplc="8CA2BD86">
      <w:start w:val="4"/>
      <w:numFmt w:val="bullet"/>
      <w:lvlText w:val="-"/>
      <w:lvlJc w:val="left"/>
      <w:pPr>
        <w:ind w:left="720" w:hanging="360"/>
      </w:pPr>
      <w:rPr>
        <w:rFonts w:ascii="Frutiger" w:eastAsia="Times New Roman" w:hAnsi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134AD"/>
    <w:multiLevelType w:val="hybridMultilevel"/>
    <w:tmpl w:val="260AAA94"/>
    <w:lvl w:ilvl="0" w:tplc="8CA2BD86">
      <w:start w:val="4"/>
      <w:numFmt w:val="bullet"/>
      <w:lvlText w:val="-"/>
      <w:lvlJc w:val="left"/>
      <w:pPr>
        <w:ind w:left="720" w:hanging="360"/>
      </w:pPr>
      <w:rPr>
        <w:rFonts w:ascii="Frutiger" w:eastAsia="Times New Roman" w:hAnsi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58E7"/>
    <w:multiLevelType w:val="hybridMultilevel"/>
    <w:tmpl w:val="CEDED38E"/>
    <w:lvl w:ilvl="0" w:tplc="8CA2BD86">
      <w:start w:val="4"/>
      <w:numFmt w:val="bullet"/>
      <w:lvlText w:val="-"/>
      <w:lvlJc w:val="left"/>
      <w:pPr>
        <w:ind w:left="720" w:hanging="360"/>
      </w:pPr>
      <w:rPr>
        <w:rFonts w:ascii="Frutiger" w:eastAsia="Times New Roman" w:hAnsi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6564F"/>
    <w:multiLevelType w:val="hybridMultilevel"/>
    <w:tmpl w:val="0492CC80"/>
    <w:lvl w:ilvl="0" w:tplc="8CA2BD86">
      <w:start w:val="4"/>
      <w:numFmt w:val="bullet"/>
      <w:lvlText w:val="-"/>
      <w:lvlJc w:val="left"/>
      <w:pPr>
        <w:ind w:left="720" w:hanging="360"/>
      </w:pPr>
      <w:rPr>
        <w:rFonts w:ascii="Frutiger" w:eastAsia="Times New Roman" w:hAnsi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D096C"/>
    <w:multiLevelType w:val="hybridMultilevel"/>
    <w:tmpl w:val="61940662"/>
    <w:lvl w:ilvl="0" w:tplc="8CA2BD86">
      <w:start w:val="4"/>
      <w:numFmt w:val="bullet"/>
      <w:lvlText w:val="-"/>
      <w:lvlJc w:val="left"/>
      <w:pPr>
        <w:ind w:left="720" w:hanging="360"/>
      </w:pPr>
      <w:rPr>
        <w:rFonts w:ascii="Frutiger" w:eastAsia="Times New Roman" w:hAnsi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E6FB6"/>
    <w:multiLevelType w:val="hybridMultilevel"/>
    <w:tmpl w:val="CA887C16"/>
    <w:lvl w:ilvl="0" w:tplc="8CA2BD86">
      <w:start w:val="4"/>
      <w:numFmt w:val="bullet"/>
      <w:lvlText w:val="-"/>
      <w:lvlJc w:val="left"/>
      <w:pPr>
        <w:ind w:left="720" w:hanging="360"/>
      </w:pPr>
      <w:rPr>
        <w:rFonts w:ascii="Frutiger" w:eastAsia="Times New Roman" w:hAnsi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6723">
    <w:abstractNumId w:val="7"/>
  </w:num>
  <w:num w:numId="2" w16cid:durableId="1480076878">
    <w:abstractNumId w:val="5"/>
  </w:num>
  <w:num w:numId="3" w16cid:durableId="731662047">
    <w:abstractNumId w:val="0"/>
  </w:num>
  <w:num w:numId="4" w16cid:durableId="586379846">
    <w:abstractNumId w:val="6"/>
  </w:num>
  <w:num w:numId="5" w16cid:durableId="1549800752">
    <w:abstractNumId w:val="2"/>
  </w:num>
  <w:num w:numId="6" w16cid:durableId="196312987">
    <w:abstractNumId w:val="3"/>
  </w:num>
  <w:num w:numId="7" w16cid:durableId="894971148">
    <w:abstractNumId w:val="1"/>
  </w:num>
  <w:num w:numId="8" w16cid:durableId="1866206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C9"/>
    <w:rsid w:val="00007C9A"/>
    <w:rsid w:val="00061EA7"/>
    <w:rsid w:val="00113C37"/>
    <w:rsid w:val="001B0F44"/>
    <w:rsid w:val="002C13F8"/>
    <w:rsid w:val="003D2B7F"/>
    <w:rsid w:val="003D5619"/>
    <w:rsid w:val="0045438F"/>
    <w:rsid w:val="0048575B"/>
    <w:rsid w:val="005214EB"/>
    <w:rsid w:val="006335D0"/>
    <w:rsid w:val="00707185"/>
    <w:rsid w:val="007A09C9"/>
    <w:rsid w:val="007A2576"/>
    <w:rsid w:val="00A0417B"/>
    <w:rsid w:val="00B32FDF"/>
    <w:rsid w:val="00C339A2"/>
    <w:rsid w:val="00D748BD"/>
    <w:rsid w:val="00F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5908"/>
  <w15:chartTrackingRefBased/>
  <w15:docId w15:val="{D1CA8559-5FA2-4C4B-A86C-A458CB9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9C9"/>
    <w:pPr>
      <w:spacing w:after="0" w:line="260" w:lineRule="atLeast"/>
    </w:pPr>
    <w:rPr>
      <w:rFonts w:ascii="Frutiger" w:eastAsia="Times New Roman" w:hAnsi="Frutiger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A09C9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39"/>
    <w:rsid w:val="003D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Lapanja</dc:creator>
  <cp:keywords/>
  <dc:description/>
  <cp:lastModifiedBy>Jure Jakopič</cp:lastModifiedBy>
  <cp:revision>2</cp:revision>
  <dcterms:created xsi:type="dcterms:W3CDTF">2022-04-11T10:58:00Z</dcterms:created>
  <dcterms:modified xsi:type="dcterms:W3CDTF">2022-04-11T10:58:00Z</dcterms:modified>
</cp:coreProperties>
</file>